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A700B" w:rsidRDefault="007B6A9B">
      <w:pPr>
        <w:pBdr>
          <w:top w:val="nil"/>
          <w:left w:val="nil"/>
          <w:bottom w:val="nil"/>
          <w:right w:val="nil"/>
          <w:between w:val="nil"/>
        </w:pBdr>
        <w:spacing w:after="0" w:line="240" w:lineRule="auto"/>
        <w:jc w:val="center"/>
        <w:rPr>
          <w:rFonts w:ascii="Arial" w:eastAsia="Arial" w:hAnsi="Arial" w:cs="Arial"/>
          <w:b/>
          <w:color w:val="000000"/>
          <w:sz w:val="28"/>
          <w:szCs w:val="28"/>
        </w:rPr>
      </w:pPr>
      <w:r>
        <w:rPr>
          <w:rFonts w:ascii="Arial" w:eastAsia="Arial" w:hAnsi="Arial" w:cs="Arial"/>
          <w:b/>
          <w:sz w:val="28"/>
          <w:szCs w:val="28"/>
        </w:rPr>
        <w:t xml:space="preserve">LEI Nº 22.006/2024 </w:t>
      </w:r>
      <w:r>
        <w:rPr>
          <w:rFonts w:ascii="Arial" w:eastAsia="Arial" w:hAnsi="Arial" w:cs="Arial"/>
          <w:b/>
          <w:color w:val="000000"/>
          <w:sz w:val="28"/>
          <w:szCs w:val="28"/>
        </w:rPr>
        <w:t>-</w:t>
      </w:r>
      <w:r>
        <w:rPr>
          <w:rFonts w:ascii="Arial" w:eastAsia="Arial" w:hAnsi="Arial" w:cs="Arial"/>
          <w:b/>
          <w:sz w:val="28"/>
          <w:szCs w:val="28"/>
        </w:rPr>
        <w:t xml:space="preserve"> PROJETO PARCEIROS DA ESCOLA:</w:t>
      </w:r>
      <w:r>
        <w:rPr>
          <w:rFonts w:ascii="Arial" w:eastAsia="Arial" w:hAnsi="Arial" w:cs="Arial"/>
          <w:b/>
          <w:color w:val="000000"/>
          <w:sz w:val="28"/>
          <w:szCs w:val="28"/>
        </w:rPr>
        <w:t xml:space="preserve"> </w:t>
      </w:r>
      <w:r>
        <w:rPr>
          <w:rFonts w:ascii="Arial" w:eastAsia="Arial" w:hAnsi="Arial" w:cs="Arial"/>
          <w:b/>
          <w:sz w:val="28"/>
          <w:szCs w:val="28"/>
        </w:rPr>
        <w:t>o</w:t>
      </w:r>
      <w:r>
        <w:rPr>
          <w:rFonts w:ascii="Arial" w:eastAsia="Arial" w:hAnsi="Arial" w:cs="Arial"/>
          <w:b/>
          <w:color w:val="000000"/>
          <w:sz w:val="28"/>
          <w:szCs w:val="28"/>
        </w:rPr>
        <w:t xml:space="preserve"> recrudescimento da lógica privatista na Educação Básica do Estado do Paraná sob a ótica da Terceira Via</w:t>
      </w:r>
    </w:p>
    <w:p w14:paraId="00000002" w14:textId="77777777" w:rsidR="00EA700B" w:rsidRDefault="00EA700B">
      <w:pPr>
        <w:pBdr>
          <w:top w:val="nil"/>
          <w:left w:val="nil"/>
          <w:bottom w:val="nil"/>
          <w:right w:val="nil"/>
          <w:between w:val="nil"/>
        </w:pBdr>
        <w:spacing w:after="0" w:line="240" w:lineRule="auto"/>
        <w:jc w:val="right"/>
        <w:rPr>
          <w:rFonts w:ascii="Arial" w:eastAsia="Arial" w:hAnsi="Arial" w:cs="Arial"/>
          <w:b/>
          <w:sz w:val="28"/>
          <w:szCs w:val="28"/>
        </w:rPr>
      </w:pPr>
    </w:p>
    <w:p w14:paraId="00000003" w14:textId="77777777" w:rsidR="00EA700B" w:rsidRDefault="00EA700B">
      <w:pPr>
        <w:pBdr>
          <w:top w:val="nil"/>
          <w:left w:val="nil"/>
          <w:bottom w:val="nil"/>
          <w:right w:val="nil"/>
          <w:between w:val="nil"/>
        </w:pBdr>
        <w:spacing w:after="0" w:line="240" w:lineRule="auto"/>
        <w:jc w:val="right"/>
        <w:rPr>
          <w:rFonts w:ascii="Arial" w:eastAsia="Arial" w:hAnsi="Arial" w:cs="Arial"/>
          <w:b/>
          <w:sz w:val="28"/>
          <w:szCs w:val="28"/>
        </w:rPr>
      </w:pPr>
    </w:p>
    <w:p w14:paraId="00000004" w14:textId="77777777" w:rsidR="00EA700B" w:rsidRDefault="007B6A9B">
      <w:pPr>
        <w:pBdr>
          <w:top w:val="nil"/>
          <w:left w:val="nil"/>
          <w:bottom w:val="nil"/>
          <w:right w:val="nil"/>
          <w:between w:val="nil"/>
        </w:pBd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Janete Nunes Martins de</w:t>
      </w:r>
      <w:r>
        <w:rPr>
          <w:rFonts w:ascii="Arial" w:eastAsia="Arial" w:hAnsi="Arial" w:cs="Arial"/>
          <w:sz w:val="24"/>
          <w:szCs w:val="24"/>
        </w:rPr>
        <w:t xml:space="preserve"> </w:t>
      </w:r>
      <w:proofErr w:type="gramStart"/>
      <w:r>
        <w:rPr>
          <w:rFonts w:ascii="Arial" w:eastAsia="Arial" w:hAnsi="Arial" w:cs="Arial"/>
          <w:sz w:val="24"/>
          <w:szCs w:val="24"/>
        </w:rPr>
        <w:t>OLIVEIRA</w:t>
      </w:r>
      <w:r>
        <w:rPr>
          <w:rFonts w:ascii="Arial" w:eastAsia="Arial" w:hAnsi="Arial" w:cs="Arial"/>
          <w:color w:val="000000"/>
          <w:sz w:val="24"/>
          <w:szCs w:val="24"/>
        </w:rPr>
        <w:t xml:space="preserve">  (</w:t>
      </w:r>
      <w:proofErr w:type="gramEnd"/>
      <w:r>
        <w:rPr>
          <w:rFonts w:ascii="Arial" w:eastAsia="Arial" w:hAnsi="Arial" w:cs="Arial"/>
          <w:color w:val="000000"/>
          <w:sz w:val="24"/>
          <w:szCs w:val="24"/>
        </w:rPr>
        <w:t>UNIOESTE - Cascavel)</w:t>
      </w:r>
      <w:r>
        <w:rPr>
          <w:rFonts w:ascii="Arial" w:eastAsia="Arial" w:hAnsi="Arial" w:cs="Arial"/>
          <w:color w:val="000000"/>
          <w:sz w:val="24"/>
          <w:szCs w:val="24"/>
          <w:vertAlign w:val="superscript"/>
        </w:rPr>
        <w:footnoteReference w:id="1"/>
      </w:r>
      <w:r>
        <w:rPr>
          <w:rFonts w:ascii="Arial" w:eastAsia="Arial" w:hAnsi="Arial" w:cs="Arial"/>
          <w:color w:val="000000"/>
          <w:sz w:val="24"/>
          <w:szCs w:val="24"/>
        </w:rPr>
        <w:t>*</w:t>
      </w:r>
    </w:p>
    <w:p w14:paraId="00000005" w14:textId="77777777" w:rsidR="00EA700B" w:rsidRDefault="007B6A9B">
      <w:pPr>
        <w:pBdr>
          <w:top w:val="nil"/>
          <w:left w:val="nil"/>
          <w:bottom w:val="nil"/>
          <w:right w:val="nil"/>
          <w:between w:val="nil"/>
        </w:pBdr>
        <w:spacing w:after="0" w:line="240" w:lineRule="auto"/>
        <w:jc w:val="right"/>
        <w:rPr>
          <w:rFonts w:ascii="Arial" w:eastAsia="Arial" w:hAnsi="Arial" w:cs="Arial"/>
          <w:sz w:val="24"/>
          <w:szCs w:val="24"/>
        </w:rPr>
      </w:pPr>
      <w:r>
        <w:rPr>
          <w:rFonts w:ascii="Arial" w:eastAsia="Arial" w:hAnsi="Arial" w:cs="Arial"/>
          <w:sz w:val="24"/>
          <w:szCs w:val="24"/>
        </w:rPr>
        <w:t>Jaqueline Bonfim de Souza LIMA (UNIOESTE - Cascavel)</w:t>
      </w:r>
      <w:r>
        <w:rPr>
          <w:rFonts w:ascii="Arial" w:eastAsia="Arial" w:hAnsi="Arial" w:cs="Arial"/>
          <w:sz w:val="24"/>
          <w:szCs w:val="24"/>
          <w:vertAlign w:val="superscript"/>
        </w:rPr>
        <w:footnoteReference w:id="2"/>
      </w:r>
      <w:r>
        <w:rPr>
          <w:rFonts w:ascii="Arial" w:eastAsia="Arial" w:hAnsi="Arial" w:cs="Arial"/>
          <w:sz w:val="24"/>
          <w:szCs w:val="24"/>
        </w:rPr>
        <w:t xml:space="preserve"> </w:t>
      </w:r>
      <w:r>
        <w:rPr>
          <w:rFonts w:ascii="Arial" w:eastAsia="Arial" w:hAnsi="Arial" w:cs="Arial"/>
          <w:color w:val="000000"/>
          <w:sz w:val="24"/>
          <w:szCs w:val="24"/>
        </w:rPr>
        <w:t>*</w:t>
      </w:r>
      <w:r>
        <w:rPr>
          <w:rFonts w:ascii="Arial" w:eastAsia="Arial" w:hAnsi="Arial" w:cs="Arial"/>
          <w:sz w:val="24"/>
          <w:szCs w:val="24"/>
        </w:rPr>
        <w:t>*</w:t>
      </w:r>
    </w:p>
    <w:p w14:paraId="00000006" w14:textId="77777777" w:rsidR="00EA700B" w:rsidRDefault="007B6A9B">
      <w:pPr>
        <w:pBdr>
          <w:top w:val="nil"/>
          <w:left w:val="nil"/>
          <w:bottom w:val="nil"/>
          <w:right w:val="nil"/>
          <w:between w:val="nil"/>
        </w:pBdr>
        <w:spacing w:after="0" w:line="240" w:lineRule="auto"/>
        <w:jc w:val="right"/>
        <w:rPr>
          <w:rFonts w:ascii="Arial" w:eastAsia="Arial" w:hAnsi="Arial" w:cs="Arial"/>
          <w:sz w:val="24"/>
          <w:szCs w:val="24"/>
        </w:rPr>
      </w:pPr>
      <w:r>
        <w:rPr>
          <w:rFonts w:ascii="Arial" w:eastAsia="Arial" w:hAnsi="Arial" w:cs="Arial"/>
          <w:sz w:val="24"/>
          <w:szCs w:val="24"/>
        </w:rPr>
        <w:t>Isaura Monica Souza ZANARDINI (UNIOESTE - Cascavel)</w:t>
      </w:r>
      <w:r>
        <w:rPr>
          <w:rFonts w:ascii="Arial" w:eastAsia="Arial" w:hAnsi="Arial" w:cs="Arial"/>
          <w:sz w:val="24"/>
          <w:szCs w:val="24"/>
          <w:vertAlign w:val="superscript"/>
        </w:rPr>
        <w:footnoteReference w:id="3"/>
      </w:r>
      <w:r>
        <w:rPr>
          <w:rFonts w:ascii="Arial" w:eastAsia="Arial" w:hAnsi="Arial" w:cs="Arial"/>
          <w:sz w:val="24"/>
          <w:szCs w:val="24"/>
        </w:rPr>
        <w:t>***</w:t>
      </w:r>
    </w:p>
    <w:p w14:paraId="00000007" w14:textId="77777777" w:rsidR="00EA700B" w:rsidRDefault="00EA700B">
      <w:pPr>
        <w:pBdr>
          <w:top w:val="nil"/>
          <w:left w:val="nil"/>
          <w:bottom w:val="nil"/>
          <w:right w:val="nil"/>
          <w:between w:val="nil"/>
        </w:pBdr>
        <w:spacing w:after="0" w:line="240" w:lineRule="auto"/>
        <w:jc w:val="right"/>
        <w:rPr>
          <w:rFonts w:ascii="Arial" w:eastAsia="Arial" w:hAnsi="Arial" w:cs="Arial"/>
          <w:sz w:val="24"/>
          <w:szCs w:val="24"/>
        </w:rPr>
      </w:pPr>
    </w:p>
    <w:p w14:paraId="00000008" w14:textId="77777777" w:rsidR="00EA700B" w:rsidRDefault="00EA700B">
      <w:pPr>
        <w:pBdr>
          <w:top w:val="nil"/>
          <w:left w:val="nil"/>
          <w:bottom w:val="nil"/>
          <w:right w:val="nil"/>
          <w:between w:val="nil"/>
        </w:pBdr>
        <w:spacing w:after="0" w:line="240" w:lineRule="auto"/>
        <w:jc w:val="right"/>
        <w:rPr>
          <w:rFonts w:ascii="Arial" w:eastAsia="Arial" w:hAnsi="Arial" w:cs="Arial"/>
          <w:sz w:val="24"/>
          <w:szCs w:val="24"/>
        </w:rPr>
      </w:pPr>
    </w:p>
    <w:p w14:paraId="0391493B" w14:textId="77777777" w:rsidR="00E01249" w:rsidRPr="00E01249" w:rsidRDefault="007B6A9B" w:rsidP="00E01249">
      <w:pPr>
        <w:spacing w:after="0"/>
        <w:jc w:val="both"/>
        <w:rPr>
          <w:rFonts w:ascii="Arial" w:eastAsia="Arial" w:hAnsi="Arial" w:cs="Arial"/>
        </w:rPr>
      </w:pPr>
      <w:r>
        <w:rPr>
          <w:rFonts w:ascii="Arial" w:eastAsia="Arial" w:hAnsi="Arial" w:cs="Arial"/>
          <w:b/>
          <w:sz w:val="24"/>
          <w:szCs w:val="24"/>
        </w:rPr>
        <w:t xml:space="preserve">RESUMO: </w:t>
      </w:r>
      <w:r w:rsidR="00E01249" w:rsidRPr="00E01249">
        <w:rPr>
          <w:rFonts w:ascii="Arial" w:eastAsia="Arial" w:hAnsi="Arial" w:cs="Arial"/>
        </w:rPr>
        <w:t>O presente estudo analisa a Lei nº 22.006/2024, que institui o Projeto Parceiro da Escola na Rede Pública Estadual do Paraná, e o Edital de Chamamento Público nº 17/2024, que credencia entidades privadas para a gestão educacional. A pesquisa tem como objetivo investigar os fundamentos políticos e ideológicos dessa política, contextualizando-a no marco teórico da Terceira Via e do neoliberalismo. Por meio de análise documental e crítica teórica, o estudo demonstra que a proposta, embora apresentada como modernização, reforça a lógica privatista e a mercantilização da educação pública, contrariando os princípios da gestão democrática e da universalização do direito à educação. Os resultados evidenciam a ampla rejeição da comunidade escolar nas consultas públicas, destacando os riscos da terceirização e a fragilização do papel do Estado como garantidor de direitos sociais. Conclui-se que o projeto representa um avanço da racionalidade neoliberal na educação, com impactos negativos para a qualidade e a equidade do ensino público.</w:t>
      </w:r>
    </w:p>
    <w:p w14:paraId="77B302A5" w14:textId="73EC234F" w:rsidR="00E01249" w:rsidRPr="00E01249" w:rsidRDefault="00E01249" w:rsidP="00E01249">
      <w:pPr>
        <w:spacing w:after="0"/>
        <w:jc w:val="both"/>
        <w:rPr>
          <w:rFonts w:ascii="Arial" w:eastAsia="Arial" w:hAnsi="Arial" w:cs="Arial"/>
        </w:rPr>
      </w:pPr>
      <w:r w:rsidRPr="00E01249">
        <w:rPr>
          <w:rFonts w:ascii="Arial" w:eastAsia="Arial" w:hAnsi="Arial" w:cs="Arial"/>
          <w:b/>
          <w:bCs/>
        </w:rPr>
        <w:t>Palavras-chave:</w:t>
      </w:r>
      <w:r w:rsidRPr="00E01249">
        <w:rPr>
          <w:rFonts w:ascii="Arial" w:eastAsia="Arial" w:hAnsi="Arial" w:cs="Arial"/>
        </w:rPr>
        <w:t xml:space="preserve"> neoliberalismo; Terceira Via; gestão escolar.</w:t>
      </w:r>
    </w:p>
    <w:p w14:paraId="0000000A" w14:textId="29797D34" w:rsidR="00EA700B" w:rsidRDefault="00EA700B">
      <w:pPr>
        <w:spacing w:after="0"/>
        <w:jc w:val="both"/>
        <w:rPr>
          <w:rFonts w:ascii="Arial" w:eastAsia="Arial" w:hAnsi="Arial" w:cs="Arial"/>
          <w:sz w:val="24"/>
          <w:szCs w:val="24"/>
        </w:rPr>
      </w:pPr>
    </w:p>
    <w:p w14:paraId="0000000B" w14:textId="77777777" w:rsidR="00EA700B" w:rsidRDefault="007B6A9B">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1 Introdução</w:t>
      </w:r>
    </w:p>
    <w:p w14:paraId="0000000C"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Na presente pesquisa, parte-se do entendimento de que as transformações na base estrutural da sociedade capitalista, especialmente em contextos de intensificação de suas crises cíclicas, exigem do Estado uma reconfiguração funcional, voltada à manutenção das condições necessárias à reprodução do capital. Essa reconfiguração se expressa tanto na difusão de valores ideológicos que legitimam a ordem vigente, quanto na criação de mecanismos que assegurem a ampliação das taxas de mais-valia e a contenção de contradições sociais. Nesse sentido, as mudanças no papel do Estado incidem diretamente sobre a organização do sistema formal de ensino, uma vez que a educação da classe trabalhadora ocupa </w:t>
      </w:r>
      <w:r>
        <w:rPr>
          <w:rFonts w:ascii="Arial" w:eastAsia="Arial" w:hAnsi="Arial" w:cs="Arial"/>
          <w:sz w:val="24"/>
          <w:szCs w:val="24"/>
        </w:rPr>
        <w:lastRenderedPageBreak/>
        <w:t>um lugar estratégico na preservação do status quo e na formação de subjetividades compatíveis com as exigências do mercado.</w:t>
      </w:r>
    </w:p>
    <w:p w14:paraId="0000000D"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Com base nesse pressuposto, propomos investigar os fundamentos políticos e conceituais que orientam a implementação do </w:t>
      </w:r>
      <w:r>
        <w:rPr>
          <w:rFonts w:ascii="Arial" w:eastAsia="Arial" w:hAnsi="Arial" w:cs="Arial"/>
          <w:i/>
          <w:sz w:val="24"/>
          <w:szCs w:val="24"/>
        </w:rPr>
        <w:t>Projeto Parceiro da Escola</w:t>
      </w:r>
      <w:r>
        <w:rPr>
          <w:rFonts w:ascii="Arial" w:eastAsia="Arial" w:hAnsi="Arial" w:cs="Arial"/>
          <w:sz w:val="24"/>
          <w:szCs w:val="24"/>
        </w:rPr>
        <w:t xml:space="preserve"> na Rede Estadual de Ensino do Paraná. Tal projeto, instituído por meio da Lei nº 22.006/2024, representa uma inflexão no modelo de gestão da escola pública ao permitir a atuação de entes privados na administração de unidades escolares. Apesar de apresentado como medida para a melhoria da qualidade do ensino, o projeto foi amplamente rejeitado pelas comunidades escolares nas consultas públicas realizadas anteriormente à sua implementação. A análise dessa política educacional, portanto, permite não apenas compreender os vínculos entre Estado e capital na atual configuração da Terceira Via, mas também denunciar os riscos da crescente privatização do espaço público, especialmente no campo da educação.</w:t>
      </w:r>
    </w:p>
    <w:p w14:paraId="0000000E"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Diante disso, a presente pesquisa busca investigar os fundamentos conceituais, políticos e ideológicos que orientam a Lei nº 22.006/2024 e o modelo de terceirização da gestão educacional que ela inaugura no Paraná. A proposta está estruturada em três seções, incluindo essa introdução. A segunda seção apresenta breves considerações sobre o neoliberalismo e a Terceira Via, destacando seus reflexos nas políticas públicas. A terceira seção trata da contextualização da proposta e analisa criticamente a implementação do Programa Parceiro da Escola. Por fim, as considerações finais buscam evidenciar os riscos desse modelo e reafirmar a defesa de uma educação pública orientada por princípios emancipatórios.</w:t>
      </w:r>
    </w:p>
    <w:p w14:paraId="0000000F" w14:textId="77777777" w:rsidR="00EA700B" w:rsidRDefault="00EA700B">
      <w:pPr>
        <w:spacing w:after="0" w:line="240" w:lineRule="auto"/>
        <w:jc w:val="both"/>
        <w:rPr>
          <w:rFonts w:ascii="Arial" w:eastAsia="Arial" w:hAnsi="Arial" w:cs="Arial"/>
          <w:b/>
          <w:sz w:val="24"/>
          <w:szCs w:val="24"/>
        </w:rPr>
      </w:pPr>
    </w:p>
    <w:p w14:paraId="00000010" w14:textId="1421F474" w:rsidR="00EA700B" w:rsidRDefault="007B6A9B">
      <w:pPr>
        <w:spacing w:after="0" w:line="240" w:lineRule="auto"/>
        <w:jc w:val="both"/>
        <w:rPr>
          <w:rFonts w:ascii="Arial" w:eastAsia="Arial" w:hAnsi="Arial" w:cs="Arial"/>
          <w:b/>
          <w:sz w:val="24"/>
          <w:szCs w:val="24"/>
        </w:rPr>
      </w:pPr>
      <w:r>
        <w:rPr>
          <w:rFonts w:ascii="Arial" w:eastAsia="Arial" w:hAnsi="Arial" w:cs="Arial"/>
          <w:b/>
          <w:sz w:val="24"/>
          <w:szCs w:val="24"/>
        </w:rPr>
        <w:t xml:space="preserve">2 Considerações sobre </w:t>
      </w:r>
      <w:r w:rsidR="00AE159A">
        <w:rPr>
          <w:rFonts w:ascii="Arial" w:eastAsia="Arial" w:hAnsi="Arial" w:cs="Arial"/>
          <w:b/>
          <w:sz w:val="24"/>
          <w:szCs w:val="24"/>
        </w:rPr>
        <w:t>o Neoliberalismo</w:t>
      </w:r>
      <w:r>
        <w:rPr>
          <w:rFonts w:ascii="Arial" w:eastAsia="Arial" w:hAnsi="Arial" w:cs="Arial"/>
          <w:b/>
          <w:sz w:val="24"/>
          <w:szCs w:val="24"/>
        </w:rPr>
        <w:t xml:space="preserve"> e a Terceira Via</w:t>
      </w:r>
    </w:p>
    <w:p w14:paraId="00000011" w14:textId="77777777" w:rsidR="00EA700B" w:rsidRDefault="00EA700B">
      <w:pPr>
        <w:spacing w:after="0" w:line="240" w:lineRule="auto"/>
        <w:jc w:val="both"/>
        <w:rPr>
          <w:rFonts w:ascii="Arial" w:eastAsia="Arial" w:hAnsi="Arial" w:cs="Arial"/>
          <w:b/>
          <w:sz w:val="24"/>
          <w:szCs w:val="24"/>
        </w:rPr>
      </w:pPr>
    </w:p>
    <w:p w14:paraId="00000012" w14:textId="42225589" w:rsidR="00EA700B" w:rsidRDefault="007B6A9B">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As políticas neoliberais no Brasil emergiram na década de 1990, como projeto político-econômico que propõe a redução do papel do Estado nas políticas sociais, entre elas a educação, e a valorização da lógica de mercado. Isso tem se expressado por meio de medidas de privatização de serviços públicos, da aplicabilidade de mecanismos gerenciais e empresariais nas escolas públicas, com foco nos resultados, no qual o conceito de qualidade é </w:t>
      </w:r>
      <w:r w:rsidR="003C5D12">
        <w:rPr>
          <w:rFonts w:ascii="Arial" w:eastAsia="Arial" w:hAnsi="Arial" w:cs="Arial"/>
          <w:sz w:val="24"/>
          <w:szCs w:val="24"/>
        </w:rPr>
        <w:t>atrelado</w:t>
      </w:r>
      <w:r>
        <w:rPr>
          <w:rFonts w:ascii="Arial" w:eastAsia="Arial" w:hAnsi="Arial" w:cs="Arial"/>
          <w:sz w:val="24"/>
          <w:szCs w:val="24"/>
        </w:rPr>
        <w:t xml:space="preserve"> à eficiência mercadológica.</w:t>
      </w:r>
    </w:p>
    <w:p w14:paraId="00000013"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lastRenderedPageBreak/>
        <w:t xml:space="preserve">Segundo </w:t>
      </w:r>
      <w:proofErr w:type="spellStart"/>
      <w:r>
        <w:rPr>
          <w:rFonts w:ascii="Arial" w:eastAsia="Arial" w:hAnsi="Arial" w:cs="Arial"/>
          <w:sz w:val="24"/>
          <w:szCs w:val="24"/>
        </w:rPr>
        <w:t>Peroni</w:t>
      </w:r>
      <w:proofErr w:type="spellEnd"/>
      <w:r>
        <w:rPr>
          <w:rFonts w:ascii="Arial" w:eastAsia="Arial" w:hAnsi="Arial" w:cs="Arial"/>
          <w:sz w:val="24"/>
          <w:szCs w:val="24"/>
        </w:rPr>
        <w:t>, o neoliberalismo parte da ideia de que o Estado é o culpado pela crise econômica e social, defendendo sua retirada das políticas sociais e a ampliação do papel do mercado como organizador da sociedade.</w:t>
      </w:r>
    </w:p>
    <w:p w14:paraId="00000014" w14:textId="77777777" w:rsidR="00EA700B" w:rsidRDefault="00EA700B">
      <w:pPr>
        <w:spacing w:after="0" w:line="240" w:lineRule="auto"/>
        <w:ind w:left="2267"/>
        <w:jc w:val="both"/>
        <w:rPr>
          <w:rFonts w:ascii="Arial" w:eastAsia="Arial" w:hAnsi="Arial" w:cs="Arial"/>
        </w:rPr>
      </w:pPr>
    </w:p>
    <w:p w14:paraId="00000015" w14:textId="77777777" w:rsidR="00EA700B" w:rsidRDefault="007B6A9B">
      <w:pPr>
        <w:spacing w:after="0" w:line="240" w:lineRule="auto"/>
        <w:ind w:left="2267"/>
        <w:jc w:val="both"/>
        <w:rPr>
          <w:rFonts w:ascii="Arial" w:eastAsia="Arial" w:hAnsi="Arial" w:cs="Arial"/>
        </w:rPr>
      </w:pPr>
      <w:r>
        <w:rPr>
          <w:rFonts w:ascii="Arial" w:eastAsia="Arial" w:hAnsi="Arial" w:cs="Arial"/>
        </w:rPr>
        <w:t>Para a terceira via, a principal estratégia de retirada do Estado da execução direta das políticas sociais é a parceria público/privada, tanto para a execução das políticas sociais como para o mercado, por meio de uma nova economia mista[...] (</w:t>
      </w:r>
      <w:proofErr w:type="spellStart"/>
      <w:r>
        <w:rPr>
          <w:rFonts w:ascii="Arial" w:eastAsia="Arial" w:hAnsi="Arial" w:cs="Arial"/>
        </w:rPr>
        <w:t>Peroni</w:t>
      </w:r>
      <w:proofErr w:type="spellEnd"/>
      <w:r>
        <w:rPr>
          <w:rFonts w:ascii="Arial" w:eastAsia="Arial" w:hAnsi="Arial" w:cs="Arial"/>
        </w:rPr>
        <w:t>, 2013, p.242).</w:t>
      </w:r>
    </w:p>
    <w:p w14:paraId="00000016" w14:textId="77777777" w:rsidR="00EA700B" w:rsidRDefault="00EA700B">
      <w:pPr>
        <w:spacing w:after="0" w:line="360" w:lineRule="auto"/>
        <w:ind w:firstLine="708"/>
        <w:jc w:val="both"/>
        <w:rPr>
          <w:rFonts w:ascii="Arial" w:eastAsia="Arial" w:hAnsi="Arial" w:cs="Arial"/>
          <w:sz w:val="24"/>
          <w:szCs w:val="24"/>
        </w:rPr>
      </w:pPr>
    </w:p>
    <w:p w14:paraId="00000017" w14:textId="600CBC46"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No campo educacional, essa visão reduz o papel do Estado como garantidor do direito à educação e fortalece a ideia de que as políticas educacionais devem seguir os moldes do mercado, introduzindo práticas como avaliação por desempenho, meritocracia e gestão gerencial. Essa racionalidade privatizante desvaloriza a gestão democrática e o papel autônomo do professor.</w:t>
      </w:r>
      <w:r w:rsidR="000C6773">
        <w:rPr>
          <w:rFonts w:ascii="Arial" w:eastAsia="Arial" w:hAnsi="Arial" w:cs="Arial"/>
          <w:sz w:val="24"/>
          <w:szCs w:val="24"/>
        </w:rPr>
        <w:t xml:space="preserve"> </w:t>
      </w:r>
    </w:p>
    <w:p w14:paraId="7B315CD1" w14:textId="083733E8" w:rsidR="00C949F8" w:rsidRDefault="00C949F8" w:rsidP="00C949F8">
      <w:pPr>
        <w:spacing w:after="0" w:line="360" w:lineRule="auto"/>
        <w:ind w:firstLine="708"/>
        <w:jc w:val="both"/>
        <w:rPr>
          <w:rFonts w:ascii="Arial" w:eastAsia="Arial" w:hAnsi="Arial" w:cs="Arial"/>
          <w:sz w:val="24"/>
          <w:szCs w:val="24"/>
        </w:rPr>
      </w:pPr>
      <w:r w:rsidRPr="00C949F8">
        <w:rPr>
          <w:rFonts w:ascii="Arial" w:eastAsia="Arial" w:hAnsi="Arial" w:cs="Arial"/>
          <w:sz w:val="24"/>
          <w:szCs w:val="24"/>
        </w:rPr>
        <w:t>A implementação das políticas neoliberais evidencia progressivamente seu impacto na intensificação da precarização laboral e na deterioração das condições de vida da classe trabalhadora, além de ampliar a concentração de renda e as assimetrias entre países centrais e periféricos no sistema capitalista. Nesse cenário, emergem discursos que buscam atenuar certos princípios neoliberais sem, contudo, abandonar seus fundamentos essenciais. Conforme Gruppo e Martins (2008), tais discursos configuram o que se denomina "Neoliberalismo de Terceira Via":</w:t>
      </w:r>
    </w:p>
    <w:p w14:paraId="458C471E" w14:textId="77777777" w:rsidR="00AB0952" w:rsidRPr="00C949F8" w:rsidRDefault="00AB0952" w:rsidP="00C949F8">
      <w:pPr>
        <w:spacing w:after="0" w:line="360" w:lineRule="auto"/>
        <w:ind w:firstLine="708"/>
        <w:jc w:val="both"/>
        <w:rPr>
          <w:rFonts w:ascii="Arial" w:eastAsia="Arial" w:hAnsi="Arial" w:cs="Arial"/>
          <w:sz w:val="24"/>
          <w:szCs w:val="24"/>
        </w:rPr>
      </w:pPr>
    </w:p>
    <w:p w14:paraId="2FC2C76C" w14:textId="29E7E079" w:rsidR="00C949F8" w:rsidRDefault="00C949F8" w:rsidP="00AB0952">
      <w:pPr>
        <w:spacing w:after="0" w:line="240" w:lineRule="auto"/>
        <w:ind w:left="2268"/>
        <w:jc w:val="both"/>
        <w:rPr>
          <w:rFonts w:ascii="Arial" w:eastAsia="Arial" w:hAnsi="Arial" w:cs="Arial"/>
        </w:rPr>
      </w:pPr>
      <w:r w:rsidRPr="00AB0952">
        <w:rPr>
          <w:rFonts w:ascii="Arial" w:eastAsia="Arial" w:hAnsi="Arial" w:cs="Arial"/>
        </w:rPr>
        <w:t>Desde o final dos anos 1990, a Terceira Via vem sendo o principal discurso político-ideológico a referendar a práxis hegemônica das elites dominantes e dirigentes do capitalismo global. Trata-se de um renovado discurso que flexibiliza alguns dos dogmas do neoliberalismo predominante até então, o que nos permite chamá-lo de 'neoliberalismo de Terceira Via'. Um de seus traços mais paradoxais é o de ter sido abraçado, como discurso e/ou programa político, por alguns dos principais partidos e governos ditos de 'esquerda' ou progressistas, a começar pelo novo Trabalhismo inglês e o governo de Tony Blair.</w:t>
      </w:r>
      <w:r w:rsidR="001769C8" w:rsidRPr="00AB0952">
        <w:rPr>
          <w:rFonts w:ascii="Arial" w:eastAsia="Arial" w:hAnsi="Arial" w:cs="Arial"/>
        </w:rPr>
        <w:t xml:space="preserve"> (</w:t>
      </w:r>
      <w:r w:rsidR="003203EE" w:rsidRPr="00AB0952">
        <w:rPr>
          <w:rFonts w:ascii="Arial" w:eastAsia="Arial" w:hAnsi="Arial" w:cs="Arial"/>
        </w:rPr>
        <w:t>GRUPPO</w:t>
      </w:r>
      <w:r w:rsidR="00AB0952" w:rsidRPr="00AB0952">
        <w:rPr>
          <w:rFonts w:ascii="Arial" w:eastAsia="Arial" w:hAnsi="Arial" w:cs="Arial"/>
        </w:rPr>
        <w:t xml:space="preserve">, </w:t>
      </w:r>
      <w:r w:rsidR="003203EE" w:rsidRPr="00AB0952">
        <w:rPr>
          <w:rFonts w:ascii="Arial" w:eastAsia="Arial" w:hAnsi="Arial" w:cs="Arial"/>
        </w:rPr>
        <w:t>MARTINS</w:t>
      </w:r>
      <w:r w:rsidR="001769C8" w:rsidRPr="00AB0952">
        <w:rPr>
          <w:rFonts w:ascii="Arial" w:eastAsia="Arial" w:hAnsi="Arial" w:cs="Arial"/>
        </w:rPr>
        <w:t>,2008, p. 215)</w:t>
      </w:r>
    </w:p>
    <w:p w14:paraId="285F97F9" w14:textId="77777777" w:rsidR="00AB0952" w:rsidRPr="00AB0952" w:rsidRDefault="00AB0952" w:rsidP="00AB0952">
      <w:pPr>
        <w:spacing w:after="0" w:line="240" w:lineRule="auto"/>
        <w:ind w:left="2268"/>
        <w:jc w:val="both"/>
        <w:rPr>
          <w:rFonts w:ascii="Arial" w:eastAsia="Arial" w:hAnsi="Arial" w:cs="Arial"/>
        </w:rPr>
      </w:pPr>
    </w:p>
    <w:p w14:paraId="5E6939B2" w14:textId="300F1001" w:rsidR="00C949F8" w:rsidRDefault="00C949F8" w:rsidP="00C949F8">
      <w:pPr>
        <w:spacing w:after="0" w:line="360" w:lineRule="auto"/>
        <w:ind w:firstLine="708"/>
        <w:jc w:val="both"/>
        <w:rPr>
          <w:rFonts w:ascii="Arial" w:eastAsia="Arial" w:hAnsi="Arial" w:cs="Arial"/>
          <w:sz w:val="24"/>
          <w:szCs w:val="24"/>
        </w:rPr>
      </w:pPr>
      <w:r w:rsidRPr="00C949F8">
        <w:rPr>
          <w:rFonts w:ascii="Arial" w:eastAsia="Arial" w:hAnsi="Arial" w:cs="Arial"/>
          <w:sz w:val="24"/>
          <w:szCs w:val="24"/>
        </w:rPr>
        <w:t xml:space="preserve">No entanto, como salienta </w:t>
      </w:r>
      <w:proofErr w:type="spellStart"/>
      <w:r w:rsidRPr="00C949F8">
        <w:rPr>
          <w:rFonts w:ascii="Arial" w:eastAsia="Arial" w:hAnsi="Arial" w:cs="Arial"/>
          <w:sz w:val="24"/>
          <w:szCs w:val="24"/>
        </w:rPr>
        <w:t>Peroni</w:t>
      </w:r>
      <w:proofErr w:type="spellEnd"/>
      <w:r w:rsidRPr="00C949F8">
        <w:rPr>
          <w:rFonts w:ascii="Arial" w:eastAsia="Arial" w:hAnsi="Arial" w:cs="Arial"/>
          <w:sz w:val="24"/>
          <w:szCs w:val="24"/>
        </w:rPr>
        <w:t xml:space="preserve"> (2013, p. 238), essa proposta mantém intactos os pressupostos neoliberais fundamentais, preservando a centralidade do mercado e a lógica empresarial como eixos estruturantes das políticas educacionais. Embora apresente uma roupagem mais humanizada, a Terceira Via aprofunda na realidade a mercantilização das políticas públicas e agrava a precarização dos direitos </w:t>
      </w:r>
      <w:r w:rsidRPr="00C949F8">
        <w:rPr>
          <w:rFonts w:ascii="Arial" w:eastAsia="Arial" w:hAnsi="Arial" w:cs="Arial"/>
          <w:sz w:val="24"/>
          <w:szCs w:val="24"/>
        </w:rPr>
        <w:lastRenderedPageBreak/>
        <w:t>sociais. A autora destaca ainda que, enquanto o neoliberalismo tradicional rejeita a participação democrática por considerá-la incompatível com a dinâmica de mercado, a Terceira Via apropria-se discursivamente do conceito de sociedade civil, restringindo-o, porém, a setores vinculados ao mercado</w:t>
      </w:r>
      <w:r w:rsidR="00AB0952">
        <w:rPr>
          <w:rFonts w:ascii="Arial" w:eastAsia="Arial" w:hAnsi="Arial" w:cs="Arial"/>
          <w:sz w:val="24"/>
          <w:szCs w:val="24"/>
        </w:rPr>
        <w:t>.</w:t>
      </w:r>
    </w:p>
    <w:p w14:paraId="45BE88E0" w14:textId="77777777" w:rsidR="00AB0952" w:rsidRPr="00C949F8" w:rsidRDefault="00AB0952" w:rsidP="00C949F8">
      <w:pPr>
        <w:spacing w:after="0" w:line="360" w:lineRule="auto"/>
        <w:ind w:firstLine="708"/>
        <w:jc w:val="both"/>
        <w:rPr>
          <w:rFonts w:ascii="Arial" w:eastAsia="Arial" w:hAnsi="Arial" w:cs="Arial"/>
          <w:sz w:val="24"/>
          <w:szCs w:val="24"/>
        </w:rPr>
      </w:pPr>
    </w:p>
    <w:p w14:paraId="05D75C1A" w14:textId="1E7C93F9" w:rsidR="00C949F8" w:rsidRDefault="00C949F8" w:rsidP="00AB0952">
      <w:pPr>
        <w:spacing w:after="0" w:line="240" w:lineRule="auto"/>
        <w:ind w:left="2268"/>
        <w:jc w:val="both"/>
        <w:rPr>
          <w:rFonts w:ascii="Arial" w:eastAsia="Arial" w:hAnsi="Arial" w:cs="Arial"/>
          <w:sz w:val="24"/>
          <w:szCs w:val="24"/>
        </w:rPr>
      </w:pPr>
      <w:r w:rsidRPr="00C949F8">
        <w:rPr>
          <w:rFonts w:ascii="Arial" w:eastAsia="Arial" w:hAnsi="Arial" w:cs="Arial"/>
          <w:sz w:val="24"/>
          <w:szCs w:val="24"/>
        </w:rPr>
        <w:t>[...] o neoliberalismo condena diretamente a democracia e a participação por considerá-las prejudicial ao livre andamento do mercado, já a terceira via apresenta o discurso da participação da sociedade civil, mas setores vinculados ao mercado têm sido considerados a sociedade civil, como se já tivéssemos superado o capitalismo, a sociedade de classes e como se os interesses vinculados ao capital fossem os interesses da sociedade.</w:t>
      </w:r>
      <w:r w:rsidR="00AB0952">
        <w:rPr>
          <w:rFonts w:ascii="Arial" w:eastAsia="Arial" w:hAnsi="Arial" w:cs="Arial"/>
          <w:sz w:val="24"/>
          <w:szCs w:val="24"/>
        </w:rPr>
        <w:t xml:space="preserve"> </w:t>
      </w:r>
      <w:r w:rsidR="00AB0952" w:rsidRPr="00C949F8">
        <w:rPr>
          <w:rFonts w:ascii="Arial" w:eastAsia="Arial" w:hAnsi="Arial" w:cs="Arial"/>
          <w:sz w:val="24"/>
          <w:szCs w:val="24"/>
        </w:rPr>
        <w:t>(PERONI, 2013, p. 251)</w:t>
      </w:r>
    </w:p>
    <w:p w14:paraId="43D1D6C8" w14:textId="77777777" w:rsidR="00AB0952" w:rsidRPr="00C949F8" w:rsidRDefault="00AB0952" w:rsidP="00AB0952">
      <w:pPr>
        <w:spacing w:after="0" w:line="240" w:lineRule="auto"/>
        <w:ind w:left="2268"/>
        <w:jc w:val="both"/>
        <w:rPr>
          <w:rFonts w:ascii="Arial" w:eastAsia="Arial" w:hAnsi="Arial" w:cs="Arial"/>
          <w:sz w:val="24"/>
          <w:szCs w:val="24"/>
        </w:rPr>
      </w:pPr>
    </w:p>
    <w:p w14:paraId="1D18990F" w14:textId="787BF350" w:rsidR="007C3F31" w:rsidRPr="007C3F31" w:rsidRDefault="007C3F31" w:rsidP="007C3F31">
      <w:pPr>
        <w:spacing w:after="0" w:line="360" w:lineRule="auto"/>
        <w:ind w:firstLine="709"/>
        <w:jc w:val="both"/>
        <w:rPr>
          <w:rFonts w:ascii="Arial" w:eastAsia="Arial" w:hAnsi="Arial" w:cs="Arial"/>
          <w:sz w:val="24"/>
          <w:szCs w:val="24"/>
        </w:rPr>
      </w:pPr>
      <w:r w:rsidRPr="007C3F31">
        <w:rPr>
          <w:rFonts w:ascii="Arial" w:eastAsia="Arial" w:hAnsi="Arial" w:cs="Arial"/>
          <w:sz w:val="24"/>
          <w:szCs w:val="24"/>
        </w:rPr>
        <w:t xml:space="preserve">Nesse contexto, as parcerias público-privadas (PPPs) consolidam-se como principal mecanismo operacional da Terceira Via, viabilizando o que </w:t>
      </w:r>
      <w:proofErr w:type="spellStart"/>
      <w:r w:rsidRPr="007C3F31">
        <w:rPr>
          <w:rFonts w:ascii="Arial" w:eastAsia="Arial" w:hAnsi="Arial" w:cs="Arial"/>
          <w:sz w:val="24"/>
          <w:szCs w:val="24"/>
        </w:rPr>
        <w:t>Peroni</w:t>
      </w:r>
      <w:proofErr w:type="spellEnd"/>
      <w:r w:rsidRPr="007C3F31">
        <w:rPr>
          <w:rFonts w:ascii="Arial" w:eastAsia="Arial" w:hAnsi="Arial" w:cs="Arial"/>
          <w:sz w:val="24"/>
          <w:szCs w:val="24"/>
        </w:rPr>
        <w:t xml:space="preserve"> (2013) caracteriza como a "retirada do Estado da execução direta das políticas sociais". É precisamente nesse marco teórico que se insere o projeto Parceiros da Escola, </w:t>
      </w:r>
      <w:r w:rsidR="00D07660">
        <w:rPr>
          <w:rFonts w:ascii="Arial" w:eastAsia="Arial" w:hAnsi="Arial" w:cs="Arial"/>
          <w:sz w:val="24"/>
          <w:szCs w:val="24"/>
        </w:rPr>
        <w:t>que analisaremos n</w:t>
      </w:r>
      <w:r w:rsidR="0022329B">
        <w:rPr>
          <w:rFonts w:ascii="Arial" w:eastAsia="Arial" w:hAnsi="Arial" w:cs="Arial"/>
          <w:sz w:val="24"/>
          <w:szCs w:val="24"/>
        </w:rPr>
        <w:t xml:space="preserve">o próximo tópico, </w:t>
      </w:r>
      <w:r w:rsidRPr="007C3F31">
        <w:rPr>
          <w:rFonts w:ascii="Arial" w:eastAsia="Arial" w:hAnsi="Arial" w:cs="Arial"/>
          <w:sz w:val="24"/>
          <w:szCs w:val="24"/>
        </w:rPr>
        <w:t>cuja proposta de transferência da gestão escolar pública para entidades privadas revela-se não como uma medida técnica isolada, mas como parte constitutiva dessa reconfiguração neoliberal do Estado.</w:t>
      </w:r>
    </w:p>
    <w:p w14:paraId="0000001C" w14:textId="19579293" w:rsidR="00EA700B" w:rsidRDefault="00EA700B">
      <w:pPr>
        <w:spacing w:after="0" w:line="240" w:lineRule="auto"/>
        <w:ind w:firstLine="708"/>
        <w:jc w:val="both"/>
        <w:rPr>
          <w:rFonts w:ascii="Arial" w:eastAsia="Arial" w:hAnsi="Arial" w:cs="Arial"/>
          <w:sz w:val="24"/>
          <w:szCs w:val="24"/>
        </w:rPr>
      </w:pPr>
    </w:p>
    <w:p w14:paraId="0000001D" w14:textId="77777777" w:rsidR="00EA700B" w:rsidRDefault="007B6A9B">
      <w:pPr>
        <w:spacing w:after="0" w:line="240" w:lineRule="auto"/>
        <w:jc w:val="both"/>
        <w:rPr>
          <w:rFonts w:ascii="Arial" w:eastAsia="Arial" w:hAnsi="Arial" w:cs="Arial"/>
          <w:b/>
          <w:sz w:val="24"/>
          <w:szCs w:val="24"/>
        </w:rPr>
      </w:pPr>
      <w:r>
        <w:rPr>
          <w:rFonts w:ascii="Arial" w:eastAsia="Arial" w:hAnsi="Arial" w:cs="Arial"/>
          <w:b/>
          <w:sz w:val="24"/>
          <w:szCs w:val="24"/>
        </w:rPr>
        <w:t>3 O acirramento da Privatização da Educação Básica no Estado do Paraná: Lei nº 22.006/2024</w:t>
      </w:r>
    </w:p>
    <w:p w14:paraId="0000001E" w14:textId="77777777" w:rsidR="00EA700B" w:rsidRDefault="00EA700B">
      <w:pPr>
        <w:spacing w:after="0" w:line="240" w:lineRule="auto"/>
        <w:jc w:val="both"/>
        <w:rPr>
          <w:rFonts w:ascii="Arial" w:eastAsia="Arial" w:hAnsi="Arial" w:cs="Arial"/>
          <w:b/>
          <w:sz w:val="24"/>
          <w:szCs w:val="24"/>
        </w:rPr>
      </w:pPr>
    </w:p>
    <w:p w14:paraId="0000001F" w14:textId="598941C3" w:rsidR="00EA700B" w:rsidRDefault="007B6A9B">
      <w:pPr>
        <w:spacing w:after="0" w:line="360" w:lineRule="auto"/>
        <w:ind w:firstLine="720"/>
        <w:jc w:val="both"/>
        <w:rPr>
          <w:rFonts w:ascii="Arial" w:eastAsia="Arial" w:hAnsi="Arial" w:cs="Arial"/>
          <w:sz w:val="24"/>
          <w:szCs w:val="24"/>
        </w:rPr>
      </w:pPr>
      <w:r>
        <w:rPr>
          <w:rFonts w:ascii="Arial" w:eastAsia="Arial" w:hAnsi="Arial" w:cs="Arial"/>
          <w:sz w:val="24"/>
          <w:szCs w:val="24"/>
        </w:rPr>
        <w:t>A promulgação da Lei nº 22.006/2024, que institui o Programa Parceiro da Escola na Rede Estadual de Ensino do Paraná, representa um marco no avanço de políticas educacionais que incorporam lógicas de mercado à gestão da educação pública. De acordo com o governo do estado, o programa objetiva "otimizar a gestão administrativa e de infraestrutura das escolas através de parcerias com instituições especializadas em gestão educacional", com a promessa de liberar os gestores escolares para concentrarem-se no núcleo pedagógico das instituições. (PARANÁ, 2024</w:t>
      </w:r>
      <w:r w:rsidR="00AB0952">
        <w:rPr>
          <w:rFonts w:ascii="Arial" w:eastAsia="Arial" w:hAnsi="Arial" w:cs="Arial"/>
          <w:sz w:val="24"/>
          <w:szCs w:val="24"/>
        </w:rPr>
        <w:t>b</w:t>
      </w:r>
      <w:r>
        <w:rPr>
          <w:rFonts w:ascii="Arial" w:eastAsia="Arial" w:hAnsi="Arial" w:cs="Arial"/>
          <w:sz w:val="24"/>
          <w:szCs w:val="24"/>
        </w:rPr>
        <w:t>,</w:t>
      </w:r>
      <w:r w:rsidR="00AB0952">
        <w:rPr>
          <w:rFonts w:ascii="Arial" w:eastAsia="Arial" w:hAnsi="Arial" w:cs="Arial"/>
          <w:sz w:val="24"/>
          <w:szCs w:val="24"/>
        </w:rPr>
        <w:t xml:space="preserve"> p.9</w:t>
      </w:r>
      <w:r>
        <w:rPr>
          <w:rFonts w:ascii="Arial" w:eastAsia="Arial" w:hAnsi="Arial" w:cs="Arial"/>
          <w:sz w:val="24"/>
          <w:szCs w:val="24"/>
        </w:rPr>
        <w:t>). Contudo, essa proposta está inserida em uma racionalidade neoliberal que reposiciona o papel do Estado na oferta de políticas públicas, particularmente na educação, sob o pretexto de eficiência, modernização e qualidade.</w:t>
      </w:r>
    </w:p>
    <w:p w14:paraId="00000020" w14:textId="75498D49"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lastRenderedPageBreak/>
        <w:t xml:space="preserve">A estruturação do projeto, iniciada com um piloto em 2023 e expandida por meio da sanção da Lei nº 22.006/2024, segue uma trajetória marcada por resistências sociais. Nas consultas públicas realizadas em 2022, apenas 2 das 27 escolas consultadas aprovaram a adesão ao programa. Em 2024, novas consultas foram realizadas em 177 escolas, e, das 94 que atingiram o quórum, 93,8% rejeitaram a proposta. Esses dados apontam para uma clara recusa da comunidade escolar em relação à terceirização da gestão educacional, colocando em evidência o caráter antidemocrático do processo e sua desconexão com os interesses da população diretamente afetada. </w:t>
      </w:r>
      <w:r w:rsidR="00DC477E" w:rsidRPr="00DC477E">
        <w:rPr>
          <w:rFonts w:ascii="Arial" w:eastAsia="Arial" w:hAnsi="Arial" w:cs="Arial"/>
          <w:sz w:val="24"/>
          <w:szCs w:val="24"/>
        </w:rPr>
        <w:t>(CUT-PR, 2024)</w:t>
      </w:r>
    </w:p>
    <w:p w14:paraId="00000021"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A justificativa de implantação do projeto, conforme edital de chamamento público as empresas interessadas, n º 17/2024, indica a relação entre a concepção de Estado defendida pela Terceira Via e a política de privatização da gestão implementada pelo Projeto Parceiros da Escola, à medida que ressalta os benefícios sociais das parcerias público-privada. Essa perspectiva encontra ressonância nas ideias de Giddens ao afirmar que a principal estratégia da Terceira Via é a parceria público/privada, formulada como uma "nova economia mista" que busca conciliar o dinamismo dos mercados com a manutenção do interesse público. Essa lógica parte da premissa de que o Estado deve deixar de ser o executor direto das políticas sociais, tornando-se um mediador, regulador ou contratante de serviços prestados por entes privados. (GIDDENS, 2001b, p. 109)</w:t>
      </w:r>
    </w:p>
    <w:p w14:paraId="00000022" w14:textId="77777777" w:rsidR="00EA700B" w:rsidRDefault="00EA700B">
      <w:pPr>
        <w:spacing w:after="0" w:line="240" w:lineRule="auto"/>
        <w:ind w:left="2268"/>
        <w:jc w:val="both"/>
        <w:rPr>
          <w:rFonts w:ascii="Arial" w:eastAsia="Arial" w:hAnsi="Arial" w:cs="Arial"/>
        </w:rPr>
      </w:pPr>
    </w:p>
    <w:p w14:paraId="00000023" w14:textId="3D1A807C" w:rsidR="00EA700B" w:rsidRDefault="007B6A9B">
      <w:pPr>
        <w:spacing w:after="0" w:line="240" w:lineRule="auto"/>
        <w:ind w:left="2268"/>
        <w:jc w:val="both"/>
        <w:rPr>
          <w:rFonts w:ascii="Arial" w:eastAsia="Arial" w:hAnsi="Arial" w:cs="Arial"/>
        </w:rPr>
      </w:pPr>
      <w:r>
        <w:rPr>
          <w:rFonts w:ascii="Arial" w:eastAsia="Arial" w:hAnsi="Arial" w:cs="Arial"/>
        </w:rPr>
        <w:t>À medida em que atua mais na parte analítica, ou seja, na identificação do problema e na busca por soluções, para então propor ações com definição de entregas e métricas de aferição de resultados, o setor público demonstra a preocupação em atingir de forma efetiva seus objetivos. Essa perspectiva reflete-se nas relações com a sociedade e o setor privado, onde, ainda que prevaleça a hierarquia e o interesse público, as estruturas organizacionais interagem e se interligam cada vez mais, formando uma rede de objetivos e valores comuns entre interlocutores sociais, econômicos e públicos que se constituem em relações contratuais, relação indispensável para a ampliação das atividades de um governo. (PARANÀ</w:t>
      </w:r>
      <w:r w:rsidR="00E54D5A">
        <w:rPr>
          <w:rFonts w:ascii="Arial" w:eastAsia="Arial" w:hAnsi="Arial" w:cs="Arial"/>
        </w:rPr>
        <w:t>, 2024b, p.9</w:t>
      </w:r>
      <w:r>
        <w:rPr>
          <w:rFonts w:ascii="Arial" w:eastAsia="Arial" w:hAnsi="Arial" w:cs="Arial"/>
        </w:rPr>
        <w:t>)</w:t>
      </w:r>
    </w:p>
    <w:p w14:paraId="00000024" w14:textId="77777777" w:rsidR="00EA700B" w:rsidRDefault="00EA700B">
      <w:pPr>
        <w:spacing w:after="0" w:line="240" w:lineRule="auto"/>
        <w:ind w:left="2268"/>
        <w:jc w:val="both"/>
        <w:rPr>
          <w:rFonts w:ascii="Arial" w:eastAsia="Arial" w:hAnsi="Arial" w:cs="Arial"/>
        </w:rPr>
      </w:pPr>
    </w:p>
    <w:p w14:paraId="00000025"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Essa justificativa aponta para a ideia de sinergia entre os setores público e privado, defendida por Giddens, ao afirmar que a execução das políticas públicas pode e deve se articular com o setor privado, desde que haja convergência de valores e objetivos. A menção explícita a "relações contratuais" e "interlocutores sociais, </w:t>
      </w:r>
      <w:r>
        <w:rPr>
          <w:rFonts w:ascii="Arial" w:eastAsia="Arial" w:hAnsi="Arial" w:cs="Arial"/>
          <w:sz w:val="24"/>
          <w:szCs w:val="24"/>
        </w:rPr>
        <w:lastRenderedPageBreak/>
        <w:t xml:space="preserve">econômicos e públicos" revela a internalização da lógica de mercado na gestão pública. </w:t>
      </w:r>
    </w:p>
    <w:p w14:paraId="00000026"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Outro conceito presente na justificativa do projeto é o de governança, apontando para a necessidade de modernização da gestão estatal segundo a lógica </w:t>
      </w:r>
      <w:proofErr w:type="spellStart"/>
      <w:r>
        <w:rPr>
          <w:rFonts w:ascii="Arial" w:eastAsia="Arial" w:hAnsi="Arial" w:cs="Arial"/>
          <w:sz w:val="24"/>
          <w:szCs w:val="24"/>
        </w:rPr>
        <w:t>gerencialista</w:t>
      </w:r>
      <w:proofErr w:type="spellEnd"/>
      <w:r>
        <w:rPr>
          <w:rFonts w:ascii="Arial" w:eastAsia="Arial" w:hAnsi="Arial" w:cs="Arial"/>
          <w:sz w:val="24"/>
          <w:szCs w:val="24"/>
        </w:rPr>
        <w:t xml:space="preserve">. Na perspectiva da Terceira Via a governança sugere uma administração pública mais horizontal e inclusiva, com a participação de múltiplos atores — estatais, privados e "civis". No entanto, como aponta </w:t>
      </w:r>
      <w:proofErr w:type="spellStart"/>
      <w:r>
        <w:rPr>
          <w:rFonts w:ascii="Arial" w:eastAsia="Arial" w:hAnsi="Arial" w:cs="Arial"/>
          <w:sz w:val="24"/>
          <w:szCs w:val="24"/>
        </w:rPr>
        <w:t>Peroni</w:t>
      </w:r>
      <w:proofErr w:type="spellEnd"/>
      <w:r>
        <w:rPr>
          <w:rFonts w:ascii="Arial" w:eastAsia="Arial" w:hAnsi="Arial" w:cs="Arial"/>
          <w:sz w:val="24"/>
          <w:szCs w:val="24"/>
        </w:rPr>
        <w:t xml:space="preserve"> (2013), há uma apropriação desse conceito pela lógica do mercado: os setores privados, principalmente grandes grupos empresariais ligados à educação, vêm sendo considerados parte legítima da sociedade civil, como se fossem portadores de interesses coletivos e universais.</w:t>
      </w:r>
    </w:p>
    <w:p w14:paraId="00000027" w14:textId="77777777" w:rsidR="00EA700B" w:rsidRDefault="00EA700B">
      <w:pPr>
        <w:spacing w:after="0" w:line="240" w:lineRule="auto"/>
        <w:ind w:left="2268"/>
        <w:jc w:val="both"/>
        <w:rPr>
          <w:rFonts w:ascii="Arial" w:eastAsia="Arial" w:hAnsi="Arial" w:cs="Arial"/>
        </w:rPr>
      </w:pPr>
    </w:p>
    <w:p w14:paraId="5C26B1FD" w14:textId="2F47B52B" w:rsidR="00AB0952" w:rsidRDefault="007B6A9B" w:rsidP="00AB0952">
      <w:pPr>
        <w:spacing w:after="0" w:line="240" w:lineRule="auto"/>
        <w:ind w:left="2268"/>
        <w:jc w:val="both"/>
        <w:rPr>
          <w:rFonts w:ascii="Arial" w:eastAsia="Arial" w:hAnsi="Arial" w:cs="Arial"/>
        </w:rPr>
      </w:pPr>
      <w:r>
        <w:rPr>
          <w:rFonts w:ascii="Arial" w:eastAsia="Arial" w:hAnsi="Arial" w:cs="Arial"/>
        </w:rPr>
        <w:t>Dessa forma, a execução de programas aponta para arranjos institucionais mais complexos, envolvendo diversos agentes e não somente a estrutura governamental, com transferência e repartição de responsabilidades de forma articulada e coordenada para atores estatais e civis – conforme literatura mais recente sobre governança. (PARANÀ.</w:t>
      </w:r>
      <w:r w:rsidR="006F6E58">
        <w:rPr>
          <w:rFonts w:ascii="Arial" w:eastAsia="Arial" w:hAnsi="Arial" w:cs="Arial"/>
        </w:rPr>
        <w:t>, 2024b, p.10</w:t>
      </w:r>
      <w:r>
        <w:rPr>
          <w:rFonts w:ascii="Arial" w:eastAsia="Arial" w:hAnsi="Arial" w:cs="Arial"/>
        </w:rPr>
        <w:t>)</w:t>
      </w:r>
    </w:p>
    <w:p w14:paraId="00000029" w14:textId="77777777" w:rsidR="00EA700B" w:rsidRDefault="00EA700B">
      <w:pPr>
        <w:spacing w:after="0" w:line="240" w:lineRule="auto"/>
        <w:ind w:left="2268"/>
        <w:jc w:val="both"/>
        <w:rPr>
          <w:rFonts w:ascii="Arial" w:eastAsia="Arial" w:hAnsi="Arial" w:cs="Arial"/>
        </w:rPr>
      </w:pPr>
    </w:p>
    <w:p w14:paraId="0000002A"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Para </w:t>
      </w:r>
      <w:proofErr w:type="spellStart"/>
      <w:r>
        <w:rPr>
          <w:rFonts w:ascii="Arial" w:eastAsia="Arial" w:hAnsi="Arial" w:cs="Arial"/>
          <w:sz w:val="24"/>
          <w:szCs w:val="24"/>
        </w:rPr>
        <w:t>Peroni</w:t>
      </w:r>
      <w:proofErr w:type="spellEnd"/>
      <w:r>
        <w:rPr>
          <w:rFonts w:ascii="Arial" w:eastAsia="Arial" w:hAnsi="Arial" w:cs="Arial"/>
          <w:sz w:val="24"/>
          <w:szCs w:val="24"/>
        </w:rPr>
        <w:t xml:space="preserve"> (2013), o que a terceira via apresenta como “participação da sociedade”, é, na prática, a substituição do público pelo privado, onde empresas com alto poder financeiro e acesso à mídia determinam o rumo da política educacional. Essas empresas, como evidenciado nas escolas-piloto do programa (Grupo Positivo, Tom Educação, Grupo Apogeu), assumem a gestão educacional sob o manto da eficiência, mas com base em lógicas de rentabilidade, performance e controle gerencial, próprias do setor empresarial.</w:t>
      </w:r>
    </w:p>
    <w:p w14:paraId="0000002B" w14:textId="77777777"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Sob o discurso técnico e racional da parceria, a proposta do Parceiro da Escola indica para redefinição da função do Estado, compatível com a lógica da Terceira Via e da governança neoliberal. A educação deixa de ser tratada como direito universal e passa a ser gerida como serviço contratual, submetida à lógica da eficiência e da concorrência entre unidades escolares. Tal modelo compromete o caráter público da escola e reforça a privatização estrutural do sistema educacional sob o pretexto de modernização.</w:t>
      </w:r>
    </w:p>
    <w:p w14:paraId="0000002C" w14:textId="77777777" w:rsidR="00EA700B" w:rsidRDefault="00EA700B">
      <w:pPr>
        <w:spacing w:after="0" w:line="240" w:lineRule="auto"/>
        <w:ind w:left="2268"/>
        <w:jc w:val="both"/>
        <w:rPr>
          <w:rFonts w:ascii="Arial" w:eastAsia="Arial" w:hAnsi="Arial" w:cs="Arial"/>
          <w:sz w:val="24"/>
          <w:szCs w:val="24"/>
        </w:rPr>
      </w:pPr>
    </w:p>
    <w:p w14:paraId="0000002D" w14:textId="3AB5C5B1" w:rsidR="00EA700B" w:rsidRPr="00AB0952" w:rsidRDefault="007B6A9B">
      <w:pPr>
        <w:spacing w:after="0" w:line="240" w:lineRule="auto"/>
        <w:ind w:left="2268"/>
        <w:jc w:val="both"/>
        <w:rPr>
          <w:rFonts w:ascii="Arial" w:eastAsia="Arial" w:hAnsi="Arial" w:cs="Arial"/>
        </w:rPr>
      </w:pPr>
      <w:r w:rsidRPr="00AB0952">
        <w:rPr>
          <w:rFonts w:ascii="Arial" w:eastAsia="Arial" w:hAnsi="Arial" w:cs="Arial"/>
        </w:rPr>
        <w:t xml:space="preserve">A privatização da educação e da escola públicas, naquele quadro de racionalidade económica e técnico-instrumental, compreende agendas e objetivos muito diversos, tal como concretizações complexas e multiformes. Ela integra-se num racional político em que </w:t>
      </w:r>
      <w:r w:rsidRPr="00AB0952">
        <w:rPr>
          <w:rFonts w:ascii="Arial" w:eastAsia="Arial" w:hAnsi="Arial" w:cs="Arial"/>
        </w:rPr>
        <w:lastRenderedPageBreak/>
        <w:t>o “Estado-Educador”, responsável pela provisão, se encontra em transição para um “Estado-Avaliador”, mais centrado na supervisão do sistema através de novos processos de avaliação e de meta-regulação; também por essa razão tem sido chamado de “Estado Gestionário”, “articulador”, “supervisor”, etc., deixando claro que a responsabilidade pelo financiamento deverá, agora, ser partilhada pelos alunos e suas famílias, pelas empresas e pela sociedade civil, através do estabelecimento de parcerias, assim reduzindo o Estado à condição de simples parceiro, numa relação de tipo contratual que tem sido teoricamente apresentada segundo a díade conceitual “principal-agente”</w:t>
      </w:r>
      <w:r w:rsidR="00AB0952">
        <w:rPr>
          <w:rFonts w:ascii="Arial" w:eastAsia="Arial" w:hAnsi="Arial" w:cs="Arial"/>
        </w:rPr>
        <w:t>.</w:t>
      </w:r>
      <w:r w:rsidRPr="00AB0952">
        <w:rPr>
          <w:rFonts w:ascii="Arial" w:eastAsia="Arial" w:hAnsi="Arial" w:cs="Arial"/>
        </w:rPr>
        <w:t xml:space="preserve"> </w:t>
      </w:r>
      <w:r w:rsidR="006F6E58" w:rsidRPr="00AB0952">
        <w:rPr>
          <w:rFonts w:ascii="Arial" w:eastAsia="Arial" w:hAnsi="Arial" w:cs="Arial"/>
        </w:rPr>
        <w:t>(</w:t>
      </w:r>
      <w:r w:rsidRPr="00AB0952">
        <w:rPr>
          <w:rFonts w:ascii="Arial" w:eastAsia="Arial" w:hAnsi="Arial" w:cs="Arial"/>
        </w:rPr>
        <w:t>PERONI e ADRIAO, 2013</w:t>
      </w:r>
      <w:r w:rsidR="006F6E58" w:rsidRPr="00AB0952">
        <w:rPr>
          <w:rFonts w:ascii="Arial" w:eastAsia="Arial" w:hAnsi="Arial" w:cs="Arial"/>
        </w:rPr>
        <w:t>, p.</w:t>
      </w:r>
      <w:r w:rsidR="0084687B" w:rsidRPr="00AB0952">
        <w:rPr>
          <w:rFonts w:ascii="Arial" w:eastAsia="Arial" w:hAnsi="Arial" w:cs="Arial"/>
        </w:rPr>
        <w:t>178</w:t>
      </w:r>
      <w:r w:rsidR="006F6E58" w:rsidRPr="00AB0952">
        <w:rPr>
          <w:rFonts w:ascii="Arial" w:eastAsia="Arial" w:hAnsi="Arial" w:cs="Arial"/>
        </w:rPr>
        <w:t>)</w:t>
      </w:r>
    </w:p>
    <w:p w14:paraId="0000002E" w14:textId="77777777" w:rsidR="00EA700B" w:rsidRDefault="00EA700B">
      <w:pPr>
        <w:spacing w:after="0" w:line="240" w:lineRule="auto"/>
        <w:ind w:firstLine="708"/>
        <w:jc w:val="both"/>
        <w:rPr>
          <w:rFonts w:ascii="Arial" w:eastAsia="Arial" w:hAnsi="Arial" w:cs="Arial"/>
          <w:sz w:val="24"/>
          <w:szCs w:val="24"/>
        </w:rPr>
      </w:pPr>
    </w:p>
    <w:p w14:paraId="0000002F" w14:textId="0940228C" w:rsidR="00EA700B" w:rsidRDefault="007B6A9B">
      <w:pPr>
        <w:spacing w:after="0" w:line="360" w:lineRule="auto"/>
        <w:ind w:firstLine="708"/>
        <w:jc w:val="both"/>
        <w:rPr>
          <w:rFonts w:ascii="Arial" w:eastAsia="Arial" w:hAnsi="Arial" w:cs="Arial"/>
          <w:sz w:val="24"/>
          <w:szCs w:val="24"/>
        </w:rPr>
      </w:pPr>
      <w:r>
        <w:rPr>
          <w:rFonts w:ascii="Arial" w:eastAsia="Arial" w:hAnsi="Arial" w:cs="Arial"/>
          <w:sz w:val="24"/>
          <w:szCs w:val="24"/>
        </w:rPr>
        <w:t>Destacamos ainda como aspecto relevante na análise do Projeto, a defesa do governo de que a parceria não compromete a gratuidade e o caráter público da escola, indicação que, na nossa concepção, revela-se contraditória por diversos elementos da própria proposta: a remoção da participação da comunidade escolar na escolha das direções, o acesso irrestrito das empresas aos dados das famílias e estudantes, a dificuldade de controle e transparência nas prestações de contas e a redução de servidores efetivos nas escolas-piloto apontam para um modelo que fragiliza a gestão democrática e o controle social, pilares fundamentais da escola pública.</w:t>
      </w:r>
    </w:p>
    <w:p w14:paraId="00000030" w14:textId="77777777" w:rsidR="00EA700B" w:rsidRDefault="00EA700B">
      <w:pPr>
        <w:spacing w:after="0" w:line="360" w:lineRule="auto"/>
        <w:ind w:firstLine="708"/>
        <w:jc w:val="both"/>
        <w:rPr>
          <w:rFonts w:ascii="Arial" w:eastAsia="Arial" w:hAnsi="Arial" w:cs="Arial"/>
          <w:sz w:val="24"/>
          <w:szCs w:val="24"/>
        </w:rPr>
      </w:pPr>
    </w:p>
    <w:p w14:paraId="00000031" w14:textId="77777777" w:rsidR="00EA700B" w:rsidRDefault="007B6A9B">
      <w:pPr>
        <w:rPr>
          <w:rFonts w:ascii="Arial" w:eastAsia="Arial" w:hAnsi="Arial" w:cs="Arial"/>
          <w:sz w:val="24"/>
          <w:szCs w:val="24"/>
        </w:rPr>
      </w:pPr>
      <w:r>
        <w:rPr>
          <w:rFonts w:ascii="Arial" w:eastAsia="Arial" w:hAnsi="Arial" w:cs="Arial"/>
          <w:b/>
          <w:sz w:val="24"/>
          <w:szCs w:val="24"/>
        </w:rPr>
        <w:t>4 Considerações Finais</w:t>
      </w:r>
    </w:p>
    <w:p w14:paraId="00000032" w14:textId="77777777" w:rsidR="00EA700B" w:rsidRDefault="007B6A9B">
      <w:pPr>
        <w:spacing w:after="0" w:line="360" w:lineRule="auto"/>
        <w:ind w:firstLine="720"/>
        <w:jc w:val="both"/>
        <w:rPr>
          <w:rFonts w:ascii="Arial" w:eastAsia="Arial" w:hAnsi="Arial" w:cs="Arial"/>
          <w:sz w:val="24"/>
          <w:szCs w:val="24"/>
        </w:rPr>
      </w:pPr>
      <w:r>
        <w:rPr>
          <w:rFonts w:ascii="Arial" w:eastAsia="Arial" w:hAnsi="Arial" w:cs="Arial"/>
          <w:sz w:val="24"/>
          <w:szCs w:val="24"/>
        </w:rPr>
        <w:t>A análise da Lei nº 22.006/2024 e da implementação do Programa Parceiro da Escola evidencia o avanço de uma agenda educacional marcada pela lógica privatista, respaldada nos pressupostos da Terceira Via. Ainda que tal corrente política busque se apresentar como alternativa ao neoliberalismo clássico, suas práticas reafirmam a centralidade do mercado na formulação e execução das políticas públicas, especialmente quando defendem a “parceria” entre Estado e setor privado como via para garantir a eficiência e a qualidade dos serviços sociais.</w:t>
      </w:r>
    </w:p>
    <w:p w14:paraId="00000033" w14:textId="1D0EFB9A" w:rsidR="00EA700B" w:rsidRDefault="007B6A9B">
      <w:pPr>
        <w:spacing w:after="0" w:line="360" w:lineRule="auto"/>
        <w:ind w:firstLine="720"/>
        <w:jc w:val="both"/>
        <w:rPr>
          <w:rFonts w:ascii="Arial" w:eastAsia="Arial" w:hAnsi="Arial" w:cs="Arial"/>
          <w:sz w:val="24"/>
          <w:szCs w:val="24"/>
        </w:rPr>
      </w:pPr>
      <w:r>
        <w:rPr>
          <w:rFonts w:ascii="Arial" w:eastAsia="Arial" w:hAnsi="Arial" w:cs="Arial"/>
          <w:sz w:val="24"/>
          <w:szCs w:val="24"/>
        </w:rPr>
        <w:t xml:space="preserve">No campo educacional, essa estratégia tem resultado em profundas alterações na função pública da escola, que passa a ser tratada como espaço de experimentação de modelos empresariais de gestão, centrados em metas, resultados e controle. Como alerta </w:t>
      </w:r>
      <w:proofErr w:type="spellStart"/>
      <w:r>
        <w:rPr>
          <w:rFonts w:ascii="Arial" w:eastAsia="Arial" w:hAnsi="Arial" w:cs="Arial"/>
          <w:sz w:val="24"/>
          <w:szCs w:val="24"/>
        </w:rPr>
        <w:t>Peroni</w:t>
      </w:r>
      <w:proofErr w:type="spellEnd"/>
      <w:r>
        <w:rPr>
          <w:rFonts w:ascii="Arial" w:eastAsia="Arial" w:hAnsi="Arial" w:cs="Arial"/>
          <w:sz w:val="24"/>
          <w:szCs w:val="24"/>
        </w:rPr>
        <w:t xml:space="preserve"> (2013), a incorporação do setor privado ao conceito de sociedade civil promove uma falsa noção de participação democrática, ocultando as desigualdades estruturais e os conflitos de classe que perpassam a educação. Em vez de ampliar o protagonismo das comunidades escolares, tais iniciativas consolidam a influência de </w:t>
      </w:r>
      <w:r>
        <w:rPr>
          <w:rFonts w:ascii="Arial" w:eastAsia="Arial" w:hAnsi="Arial" w:cs="Arial"/>
          <w:sz w:val="24"/>
          <w:szCs w:val="24"/>
        </w:rPr>
        <w:lastRenderedPageBreak/>
        <w:t>grupos econômicos com capacidade de pautar a política educacional segundo interesses mercadológicos.</w:t>
      </w:r>
    </w:p>
    <w:p w14:paraId="00000034" w14:textId="77777777" w:rsidR="00EA700B" w:rsidRDefault="007B6A9B">
      <w:pPr>
        <w:spacing w:after="0" w:line="360" w:lineRule="auto"/>
        <w:ind w:firstLine="720"/>
        <w:jc w:val="both"/>
        <w:rPr>
          <w:rFonts w:ascii="Arial" w:eastAsia="Arial" w:hAnsi="Arial" w:cs="Arial"/>
          <w:sz w:val="24"/>
          <w:szCs w:val="24"/>
        </w:rPr>
      </w:pPr>
      <w:r>
        <w:rPr>
          <w:rFonts w:ascii="Arial" w:eastAsia="Arial" w:hAnsi="Arial" w:cs="Arial"/>
          <w:sz w:val="24"/>
          <w:szCs w:val="24"/>
        </w:rPr>
        <w:t>O Programa Parceiro da Escola, nesse sentido, expressa a reconfiguração do papel do Estado em consonância com a racionalidade neoliberal: não mais como provedor direto de direitos, mas como regulador e contratante de serviços, frequentemente prestados por empresas com fins lucrativos. A recorrente menção à eficiência administrativa e à modernização da gestão escolar, utilizada como justificativa oficial da proposta, desvia o foco dos reais desafios estruturais da educação pública e legitima práticas de terceirização e precarização.</w:t>
      </w:r>
    </w:p>
    <w:p w14:paraId="00000035" w14:textId="77777777" w:rsidR="00EA700B" w:rsidRDefault="007B6A9B">
      <w:pPr>
        <w:spacing w:after="0" w:line="360" w:lineRule="auto"/>
        <w:ind w:firstLine="720"/>
        <w:jc w:val="both"/>
        <w:rPr>
          <w:rFonts w:ascii="Arial" w:eastAsia="Arial" w:hAnsi="Arial" w:cs="Arial"/>
          <w:sz w:val="24"/>
          <w:szCs w:val="24"/>
        </w:rPr>
      </w:pPr>
      <w:r>
        <w:rPr>
          <w:rFonts w:ascii="Arial" w:eastAsia="Arial" w:hAnsi="Arial" w:cs="Arial"/>
          <w:sz w:val="24"/>
          <w:szCs w:val="24"/>
        </w:rPr>
        <w:t>A ampla rejeição da proposta pelas comunidades escolares nas consultas públicas realizadas em 2022 e 2024 revela o receio da comunidade escolar diante dos riscos representados pela privatização da gestão educacional. Tal resistência social demonstra que há um entendimento, por parte dos sujeitos da escola, de que a qualidade do ensino não se constrói pela lógica empresarial, mas por meio do fortalecimento das condições objetivas de trabalho, da valorização dos profissionais da educação e da promoção da gestão democrática e participativa.</w:t>
      </w:r>
    </w:p>
    <w:p w14:paraId="23D8C362" w14:textId="77777777" w:rsidR="00540956" w:rsidRDefault="00540956" w:rsidP="00A06A5E">
      <w:pPr>
        <w:spacing w:after="0" w:line="360" w:lineRule="auto"/>
        <w:jc w:val="both"/>
        <w:rPr>
          <w:rFonts w:ascii="Arial" w:eastAsia="Arial" w:hAnsi="Arial" w:cs="Arial"/>
          <w:b/>
          <w:sz w:val="24"/>
          <w:szCs w:val="24"/>
        </w:rPr>
      </w:pPr>
    </w:p>
    <w:p w14:paraId="741B6043" w14:textId="47EE8107" w:rsidR="00540956" w:rsidRDefault="007B6A9B" w:rsidP="00A06A5E">
      <w:pPr>
        <w:spacing w:after="0" w:line="360" w:lineRule="auto"/>
        <w:jc w:val="both"/>
        <w:rPr>
          <w:rFonts w:ascii="Arial" w:eastAsia="Arial" w:hAnsi="Arial" w:cs="Arial"/>
          <w:b/>
          <w:sz w:val="24"/>
          <w:szCs w:val="24"/>
        </w:rPr>
      </w:pPr>
      <w:r>
        <w:rPr>
          <w:rFonts w:ascii="Arial" w:eastAsia="Arial" w:hAnsi="Arial" w:cs="Arial"/>
          <w:b/>
          <w:sz w:val="24"/>
          <w:szCs w:val="24"/>
        </w:rPr>
        <w:t>REFERÊNCIAS</w:t>
      </w:r>
    </w:p>
    <w:p w14:paraId="62316270" w14:textId="29CB3776" w:rsidR="00A06A5E" w:rsidRDefault="00A06A5E" w:rsidP="00540956">
      <w:pPr>
        <w:spacing w:after="0" w:line="240" w:lineRule="auto"/>
        <w:rPr>
          <w:rFonts w:ascii="Arial" w:eastAsia="Times New Roman" w:hAnsi="Arial" w:cs="Arial"/>
          <w:color w:val="000000"/>
          <w:sz w:val="24"/>
          <w:szCs w:val="24"/>
        </w:rPr>
      </w:pPr>
      <w:r w:rsidRPr="00A06A5E">
        <w:rPr>
          <w:rFonts w:ascii="Arial" w:eastAsia="Times New Roman" w:hAnsi="Arial" w:cs="Arial"/>
          <w:color w:val="000000"/>
          <w:sz w:val="24"/>
          <w:szCs w:val="24"/>
        </w:rPr>
        <w:t xml:space="preserve">ADRIÃO, </w:t>
      </w:r>
      <w:proofErr w:type="spellStart"/>
      <w:r w:rsidRPr="00A06A5E">
        <w:rPr>
          <w:rFonts w:ascii="Arial" w:eastAsia="Times New Roman" w:hAnsi="Arial" w:cs="Arial"/>
          <w:color w:val="000000"/>
          <w:sz w:val="24"/>
          <w:szCs w:val="24"/>
        </w:rPr>
        <w:t>Theresa</w:t>
      </w:r>
      <w:proofErr w:type="spellEnd"/>
      <w:r w:rsidRPr="00A06A5E">
        <w:rPr>
          <w:rFonts w:ascii="Arial" w:eastAsia="Times New Roman" w:hAnsi="Arial" w:cs="Arial"/>
          <w:color w:val="000000"/>
          <w:sz w:val="24"/>
          <w:szCs w:val="24"/>
        </w:rPr>
        <w:t xml:space="preserve">; PERONI, Vera Maria Vidal. </w:t>
      </w:r>
      <w:r w:rsidRPr="00A06A5E">
        <w:rPr>
          <w:rFonts w:ascii="Arial" w:eastAsia="Times New Roman" w:hAnsi="Arial" w:cs="Arial"/>
          <w:i/>
          <w:iCs/>
          <w:color w:val="000000"/>
          <w:sz w:val="24"/>
          <w:szCs w:val="24"/>
        </w:rPr>
        <w:t>A gestão da educação no contexto da reforma do aparelho do Estado</w:t>
      </w:r>
      <w:r w:rsidRPr="00A06A5E">
        <w:rPr>
          <w:rFonts w:ascii="Arial" w:eastAsia="Times New Roman" w:hAnsi="Arial" w:cs="Arial"/>
          <w:color w:val="000000"/>
          <w:sz w:val="24"/>
          <w:szCs w:val="24"/>
        </w:rPr>
        <w:t>. Cadernos de Pesquisa, São Paulo, n. 116, p. 65-88, jul. 2002.</w:t>
      </w:r>
    </w:p>
    <w:p w14:paraId="33634ED2" w14:textId="77777777" w:rsidR="00540956" w:rsidRPr="00A06A5E" w:rsidRDefault="00540956" w:rsidP="00540956">
      <w:pPr>
        <w:spacing w:after="0" w:line="240" w:lineRule="auto"/>
        <w:rPr>
          <w:rFonts w:ascii="Arial" w:eastAsia="Arial" w:hAnsi="Arial" w:cs="Arial"/>
          <w:b/>
          <w:sz w:val="24"/>
          <w:szCs w:val="24"/>
        </w:rPr>
      </w:pPr>
    </w:p>
    <w:p w14:paraId="1B9A4E23" w14:textId="77777777" w:rsidR="00A06A5E" w:rsidRDefault="00A06A5E" w:rsidP="00540956">
      <w:pPr>
        <w:spacing w:after="0" w:line="240" w:lineRule="auto"/>
        <w:rPr>
          <w:rFonts w:ascii="Arial" w:eastAsia="Times New Roman" w:hAnsi="Arial" w:cs="Arial"/>
          <w:color w:val="000000"/>
          <w:sz w:val="24"/>
          <w:szCs w:val="24"/>
        </w:rPr>
      </w:pPr>
      <w:r w:rsidRPr="00A06A5E">
        <w:rPr>
          <w:rFonts w:ascii="Arial" w:eastAsia="Times New Roman" w:hAnsi="Arial" w:cs="Arial"/>
          <w:color w:val="000000"/>
          <w:sz w:val="24"/>
          <w:szCs w:val="24"/>
        </w:rPr>
        <w:t xml:space="preserve">CENTRAL ÚNICA DOS TRABALHADORES DO PARANÁ. </w:t>
      </w:r>
      <w:r w:rsidRPr="00A06A5E">
        <w:rPr>
          <w:rFonts w:ascii="Arial" w:eastAsia="Times New Roman" w:hAnsi="Arial" w:cs="Arial"/>
          <w:i/>
          <w:iCs/>
          <w:color w:val="000000"/>
          <w:sz w:val="24"/>
          <w:szCs w:val="24"/>
        </w:rPr>
        <w:t>Parceiro da escola, mas por alguns milhões de reais.</w:t>
      </w:r>
      <w:r w:rsidRPr="00A06A5E">
        <w:rPr>
          <w:rFonts w:ascii="Arial" w:eastAsia="Times New Roman" w:hAnsi="Arial" w:cs="Arial"/>
          <w:color w:val="000000"/>
          <w:sz w:val="24"/>
          <w:szCs w:val="24"/>
        </w:rPr>
        <w:t xml:space="preserve"> Curitiba, 02 maio 2024. Disponível em: </w:t>
      </w:r>
      <w:hyperlink r:id="rId7" w:tgtFrame="_new" w:history="1">
        <w:r w:rsidRPr="00A06A5E">
          <w:rPr>
            <w:rStyle w:val="Hyperlink"/>
            <w:rFonts w:ascii="Arial" w:eastAsia="Times New Roman" w:hAnsi="Arial" w:cs="Arial"/>
            <w:position w:val="0"/>
            <w:sz w:val="24"/>
            <w:szCs w:val="24"/>
          </w:rPr>
          <w:t>https://pr.cut.org.br/noticias/parceiro-da-escola-mas-por-alguns-milhoes-de-reais-5b08</w:t>
        </w:r>
      </w:hyperlink>
      <w:r w:rsidRPr="00A06A5E">
        <w:rPr>
          <w:rFonts w:ascii="Arial" w:eastAsia="Times New Roman" w:hAnsi="Arial" w:cs="Arial"/>
          <w:color w:val="000000"/>
          <w:sz w:val="24"/>
          <w:szCs w:val="24"/>
        </w:rPr>
        <w:t>. Acesso em: 23 jul. 2025.</w:t>
      </w:r>
    </w:p>
    <w:p w14:paraId="68283FB4" w14:textId="77777777" w:rsidR="00540956" w:rsidRPr="00A06A5E" w:rsidRDefault="00540956" w:rsidP="00540956">
      <w:pPr>
        <w:spacing w:after="0" w:line="240" w:lineRule="auto"/>
        <w:rPr>
          <w:rFonts w:ascii="Arial" w:eastAsia="Times New Roman" w:hAnsi="Arial" w:cs="Arial"/>
          <w:color w:val="000000"/>
          <w:sz w:val="24"/>
          <w:szCs w:val="24"/>
        </w:rPr>
      </w:pPr>
    </w:p>
    <w:p w14:paraId="09B45A54" w14:textId="77777777" w:rsidR="00A06A5E" w:rsidRPr="00A06A5E" w:rsidRDefault="00A06A5E" w:rsidP="00540956">
      <w:pPr>
        <w:spacing w:after="0" w:line="240" w:lineRule="auto"/>
        <w:rPr>
          <w:rFonts w:ascii="Arial" w:eastAsia="Times New Roman" w:hAnsi="Arial" w:cs="Arial"/>
          <w:color w:val="000000"/>
          <w:sz w:val="24"/>
          <w:szCs w:val="24"/>
        </w:rPr>
      </w:pPr>
      <w:r w:rsidRPr="00A06A5E">
        <w:rPr>
          <w:rFonts w:ascii="Arial" w:eastAsia="Times New Roman" w:hAnsi="Arial" w:cs="Arial"/>
          <w:color w:val="000000"/>
          <w:sz w:val="24"/>
          <w:szCs w:val="24"/>
        </w:rPr>
        <w:t xml:space="preserve">GROPPO, Luiz Henrique Sacchi; MARTINS, Andréa Barbosa </w:t>
      </w:r>
      <w:proofErr w:type="spellStart"/>
      <w:r w:rsidRPr="00A06A5E">
        <w:rPr>
          <w:rFonts w:ascii="Arial" w:eastAsia="Times New Roman" w:hAnsi="Arial" w:cs="Arial"/>
          <w:color w:val="000000"/>
          <w:sz w:val="24"/>
          <w:szCs w:val="24"/>
        </w:rPr>
        <w:t>Gropo</w:t>
      </w:r>
      <w:proofErr w:type="spellEnd"/>
      <w:r w:rsidRPr="00A06A5E">
        <w:rPr>
          <w:rFonts w:ascii="Arial" w:eastAsia="Times New Roman" w:hAnsi="Arial" w:cs="Arial"/>
          <w:color w:val="000000"/>
          <w:sz w:val="24"/>
          <w:szCs w:val="24"/>
        </w:rPr>
        <w:t xml:space="preserve">. </w:t>
      </w:r>
      <w:r w:rsidRPr="00A06A5E">
        <w:rPr>
          <w:rFonts w:ascii="Arial" w:eastAsia="Times New Roman" w:hAnsi="Arial" w:cs="Arial"/>
          <w:i/>
          <w:iCs/>
          <w:color w:val="000000"/>
          <w:sz w:val="24"/>
          <w:szCs w:val="24"/>
        </w:rPr>
        <w:t>Neoliberalismo de Terceira Via e políticas educacionais na contemporaneidade</w:t>
      </w:r>
      <w:r w:rsidRPr="00A06A5E">
        <w:rPr>
          <w:rFonts w:ascii="Arial" w:eastAsia="Times New Roman" w:hAnsi="Arial" w:cs="Arial"/>
          <w:color w:val="000000"/>
          <w:sz w:val="24"/>
          <w:szCs w:val="24"/>
        </w:rPr>
        <w:t>. Revista Educação e Sociedade, Campinas, v. 29, n. 104, p. 209-226, jan./abr. 2008.</w:t>
      </w:r>
    </w:p>
    <w:p w14:paraId="64A7BCD0" w14:textId="77777777" w:rsidR="00540956" w:rsidRDefault="00540956" w:rsidP="00540956">
      <w:pPr>
        <w:spacing w:after="0" w:line="240" w:lineRule="auto"/>
        <w:rPr>
          <w:rFonts w:ascii="Arial" w:eastAsia="Times New Roman" w:hAnsi="Arial" w:cs="Arial"/>
          <w:color w:val="000000"/>
          <w:sz w:val="24"/>
          <w:szCs w:val="24"/>
        </w:rPr>
      </w:pPr>
    </w:p>
    <w:p w14:paraId="66F9F22C" w14:textId="6B20CEBB" w:rsidR="00A06A5E" w:rsidRPr="00A06A5E" w:rsidRDefault="00A06A5E" w:rsidP="00540956">
      <w:pPr>
        <w:spacing w:after="0" w:line="240" w:lineRule="auto"/>
        <w:rPr>
          <w:rFonts w:ascii="Arial" w:eastAsia="Times New Roman" w:hAnsi="Arial" w:cs="Arial"/>
          <w:color w:val="000000"/>
          <w:sz w:val="24"/>
          <w:szCs w:val="24"/>
        </w:rPr>
      </w:pPr>
      <w:r w:rsidRPr="00A06A5E">
        <w:rPr>
          <w:rFonts w:ascii="Arial" w:eastAsia="Times New Roman" w:hAnsi="Arial" w:cs="Arial"/>
          <w:color w:val="000000"/>
          <w:sz w:val="24"/>
          <w:szCs w:val="24"/>
        </w:rPr>
        <w:t xml:space="preserve">PARANÁ. </w:t>
      </w:r>
      <w:r w:rsidRPr="00A06A5E">
        <w:rPr>
          <w:rFonts w:ascii="Arial" w:eastAsia="Times New Roman" w:hAnsi="Arial" w:cs="Arial"/>
          <w:i/>
          <w:iCs/>
          <w:color w:val="000000"/>
          <w:sz w:val="24"/>
          <w:szCs w:val="24"/>
        </w:rPr>
        <w:t>Lei n. 22.006/2024</w:t>
      </w:r>
      <w:r w:rsidRPr="00A06A5E">
        <w:rPr>
          <w:rFonts w:ascii="Arial" w:eastAsia="Times New Roman" w:hAnsi="Arial" w:cs="Arial"/>
          <w:color w:val="000000"/>
          <w:sz w:val="24"/>
          <w:szCs w:val="24"/>
        </w:rPr>
        <w:t>. Institui o Programa Parceiro da Escola. Curitiba, 2024a.</w:t>
      </w:r>
    </w:p>
    <w:p w14:paraId="294D34EE" w14:textId="77777777" w:rsidR="00540956" w:rsidRDefault="00540956" w:rsidP="00540956">
      <w:pPr>
        <w:spacing w:after="0" w:line="240" w:lineRule="auto"/>
        <w:rPr>
          <w:rFonts w:ascii="Arial" w:eastAsia="Times New Roman" w:hAnsi="Arial" w:cs="Arial"/>
          <w:color w:val="000000"/>
          <w:sz w:val="24"/>
          <w:szCs w:val="24"/>
        </w:rPr>
      </w:pPr>
    </w:p>
    <w:p w14:paraId="1DCC81E4" w14:textId="12037286" w:rsidR="00A06A5E" w:rsidRPr="00A06A5E" w:rsidRDefault="00A06A5E" w:rsidP="00540956">
      <w:pPr>
        <w:spacing w:after="0" w:line="240" w:lineRule="auto"/>
        <w:rPr>
          <w:rFonts w:ascii="Arial" w:eastAsia="Times New Roman" w:hAnsi="Arial" w:cs="Arial"/>
          <w:color w:val="000000"/>
          <w:sz w:val="24"/>
          <w:szCs w:val="24"/>
        </w:rPr>
      </w:pPr>
      <w:r w:rsidRPr="00A06A5E">
        <w:rPr>
          <w:rFonts w:ascii="Arial" w:eastAsia="Times New Roman" w:hAnsi="Arial" w:cs="Arial"/>
          <w:color w:val="000000"/>
          <w:sz w:val="24"/>
          <w:szCs w:val="24"/>
        </w:rPr>
        <w:t xml:space="preserve">PARANÁ. Secretaria de Estado da Educação. </w:t>
      </w:r>
      <w:r w:rsidRPr="00A06A5E">
        <w:rPr>
          <w:rFonts w:ascii="Arial" w:eastAsia="Times New Roman" w:hAnsi="Arial" w:cs="Arial"/>
          <w:i/>
          <w:iCs/>
          <w:color w:val="000000"/>
          <w:sz w:val="24"/>
          <w:szCs w:val="24"/>
        </w:rPr>
        <w:t>Edital de Chamamento Público nº 17/2024.</w:t>
      </w:r>
      <w:r w:rsidRPr="00A06A5E">
        <w:rPr>
          <w:rFonts w:ascii="Arial" w:eastAsia="Times New Roman" w:hAnsi="Arial" w:cs="Arial"/>
          <w:color w:val="000000"/>
          <w:sz w:val="24"/>
          <w:szCs w:val="24"/>
        </w:rPr>
        <w:t xml:space="preserve"> Curitiba, 06 nov. 2024b. Disponível em: </w:t>
      </w:r>
      <w:hyperlink r:id="rId8" w:tgtFrame="_new" w:history="1">
        <w:r w:rsidRPr="00A06A5E">
          <w:rPr>
            <w:rStyle w:val="Hyperlink"/>
            <w:rFonts w:ascii="Arial" w:eastAsia="Times New Roman" w:hAnsi="Arial" w:cs="Arial"/>
            <w:position w:val="0"/>
            <w:sz w:val="24"/>
            <w:szCs w:val="24"/>
          </w:rPr>
          <w:t>https://www.eprotocolo.pr.gov.br/spiweb/validarDocumento?codigo=89f5035738d334c3b0be46363b393120</w:t>
        </w:r>
      </w:hyperlink>
      <w:r w:rsidRPr="00A06A5E">
        <w:rPr>
          <w:rFonts w:ascii="Arial" w:eastAsia="Times New Roman" w:hAnsi="Arial" w:cs="Arial"/>
          <w:color w:val="000000"/>
          <w:sz w:val="24"/>
          <w:szCs w:val="24"/>
        </w:rPr>
        <w:t>. Acesso em: 23 jul. 2025.</w:t>
      </w:r>
    </w:p>
    <w:p w14:paraId="657DC43C" w14:textId="77777777" w:rsidR="00540956" w:rsidRDefault="00540956" w:rsidP="00540956">
      <w:pPr>
        <w:spacing w:after="0" w:line="240" w:lineRule="auto"/>
        <w:rPr>
          <w:rFonts w:ascii="Arial" w:eastAsia="Times New Roman" w:hAnsi="Arial" w:cs="Arial"/>
          <w:color w:val="000000"/>
          <w:sz w:val="24"/>
          <w:szCs w:val="24"/>
        </w:rPr>
      </w:pPr>
    </w:p>
    <w:p w14:paraId="499FBDA0" w14:textId="11F4556C" w:rsidR="00A06A5E" w:rsidRPr="00A06A5E" w:rsidRDefault="00A06A5E" w:rsidP="00540956">
      <w:pPr>
        <w:spacing w:after="0" w:line="240" w:lineRule="auto"/>
        <w:rPr>
          <w:rFonts w:ascii="Arial" w:eastAsia="Times New Roman" w:hAnsi="Arial" w:cs="Arial"/>
          <w:color w:val="000000"/>
          <w:sz w:val="24"/>
          <w:szCs w:val="24"/>
        </w:rPr>
      </w:pPr>
      <w:r w:rsidRPr="00A06A5E">
        <w:rPr>
          <w:rFonts w:ascii="Arial" w:eastAsia="Times New Roman" w:hAnsi="Arial" w:cs="Arial"/>
          <w:color w:val="000000"/>
          <w:sz w:val="24"/>
          <w:szCs w:val="24"/>
        </w:rPr>
        <w:lastRenderedPageBreak/>
        <w:t xml:space="preserve">PERONI, Vera Maria Vidal. </w:t>
      </w:r>
      <w:r w:rsidRPr="00A06A5E">
        <w:rPr>
          <w:rFonts w:ascii="Arial" w:eastAsia="Times New Roman" w:hAnsi="Arial" w:cs="Arial"/>
          <w:i/>
          <w:iCs/>
          <w:color w:val="000000"/>
          <w:sz w:val="24"/>
          <w:szCs w:val="24"/>
        </w:rPr>
        <w:t>A nova gestão pública e a reforma da educação: do Estado-educador ao Estado-gestor</w:t>
      </w:r>
      <w:r w:rsidRPr="00A06A5E">
        <w:rPr>
          <w:rFonts w:ascii="Arial" w:eastAsia="Times New Roman" w:hAnsi="Arial" w:cs="Arial"/>
          <w:color w:val="000000"/>
          <w:sz w:val="24"/>
          <w:szCs w:val="24"/>
        </w:rPr>
        <w:t>. Revista Retratos da Escola, Brasília, v. 7, n. 13, p. 235-254, jan./jun. 2013.</w:t>
      </w:r>
    </w:p>
    <w:p w14:paraId="00000040" w14:textId="09B7908F" w:rsidR="00EA700B" w:rsidRPr="00540956" w:rsidRDefault="00EA700B" w:rsidP="00540956">
      <w:pPr>
        <w:spacing w:after="0" w:line="240" w:lineRule="auto"/>
        <w:rPr>
          <w:rFonts w:ascii="Arial" w:eastAsia="Arial" w:hAnsi="Arial" w:cs="Arial"/>
          <w:sz w:val="24"/>
          <w:szCs w:val="24"/>
        </w:rPr>
      </w:pPr>
    </w:p>
    <w:sectPr w:rsidR="00EA700B" w:rsidRPr="00540956">
      <w:headerReference w:type="even" r:id="rId9"/>
      <w:headerReference w:type="default" r:id="rId10"/>
      <w:footerReference w:type="even" r:id="rId11"/>
      <w:footerReference w:type="default" r:id="rId12"/>
      <w:headerReference w:type="first" r:id="rId13"/>
      <w:footerReference w:type="first" r:id="rId14"/>
      <w:pgSz w:w="11906" w:h="16838"/>
      <w:pgMar w:top="2410" w:right="1134" w:bottom="1134" w:left="170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470CC" w14:textId="77777777" w:rsidR="00683299" w:rsidRDefault="00683299">
      <w:pPr>
        <w:spacing w:after="0" w:line="240" w:lineRule="auto"/>
      </w:pPr>
      <w:r>
        <w:separator/>
      </w:r>
    </w:p>
  </w:endnote>
  <w:endnote w:type="continuationSeparator" w:id="0">
    <w:p w14:paraId="5E968A7D" w14:textId="77777777" w:rsidR="00683299" w:rsidRDefault="00683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77777777" w:rsidR="00EA700B" w:rsidRDefault="00EA700B">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7" w14:textId="77777777" w:rsidR="00EA700B" w:rsidRDefault="007B6A9B">
    <w:pPr>
      <w:pBdr>
        <w:top w:val="nil"/>
        <w:left w:val="nil"/>
        <w:bottom w:val="nil"/>
        <w:right w:val="nil"/>
        <w:between w:val="nil"/>
      </w:pBdr>
      <w:tabs>
        <w:tab w:val="center" w:pos="4252"/>
        <w:tab w:val="right" w:pos="8504"/>
      </w:tabs>
      <w:spacing w:after="0" w:line="240" w:lineRule="auto"/>
      <w:ind w:left="-1701"/>
      <w:rPr>
        <w:color w:val="000000"/>
      </w:rPr>
    </w:pPr>
    <w:bookmarkStart w:id="0" w:name="_heading=h.k08wlkhfak15" w:colFirst="0" w:colLast="0"/>
    <w:bookmarkEnd w:id="0"/>
    <w:r>
      <w:rPr>
        <w:noProof/>
        <w:color w:val="000000"/>
      </w:rPr>
      <w:drawing>
        <wp:inline distT="0" distB="0" distL="114300" distR="114300" wp14:anchorId="14310116" wp14:editId="3703635D">
          <wp:extent cx="7517130" cy="593725"/>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7130" cy="593725"/>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77777777" w:rsidR="00EA700B" w:rsidRDefault="00EA700B">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842EC" w14:textId="77777777" w:rsidR="00683299" w:rsidRDefault="00683299">
      <w:pPr>
        <w:spacing w:after="0" w:line="240" w:lineRule="auto"/>
      </w:pPr>
      <w:r>
        <w:separator/>
      </w:r>
    </w:p>
  </w:footnote>
  <w:footnote w:type="continuationSeparator" w:id="0">
    <w:p w14:paraId="485AA410" w14:textId="77777777" w:rsidR="00683299" w:rsidRDefault="00683299">
      <w:pPr>
        <w:spacing w:after="0" w:line="240" w:lineRule="auto"/>
      </w:pPr>
      <w:r>
        <w:continuationSeparator/>
      </w:r>
    </w:p>
  </w:footnote>
  <w:footnote w:id="1">
    <w:p w14:paraId="00000041" w14:textId="428BD66F" w:rsidR="00EA700B" w:rsidRDefault="007B6A9B">
      <w:pPr>
        <w:pBdr>
          <w:top w:val="nil"/>
          <w:left w:val="nil"/>
          <w:bottom w:val="nil"/>
          <w:right w:val="nil"/>
          <w:between w:val="nil"/>
        </w:pBdr>
        <w:spacing w:after="0"/>
        <w:jc w:val="both"/>
        <w:rPr>
          <w:rFonts w:ascii="Arial" w:eastAsia="Arial" w:hAnsi="Arial" w:cs="Arial"/>
          <w:color w:val="000000"/>
          <w:sz w:val="20"/>
          <w:szCs w:val="20"/>
        </w:rPr>
      </w:pPr>
      <w:r>
        <w:rPr>
          <w:vertAlign w:val="superscript"/>
        </w:rPr>
        <w:footnoteRef/>
      </w:r>
      <w:r>
        <w:rPr>
          <w:rFonts w:ascii="Symbol" w:eastAsia="Symbol" w:hAnsi="Symbol" w:cs="Symbol"/>
          <w:color w:val="000000"/>
          <w:sz w:val="20"/>
          <w:szCs w:val="20"/>
        </w:rPr>
        <w:t>*</w:t>
      </w:r>
      <w:r>
        <w:rPr>
          <w:rFonts w:ascii="Arial" w:eastAsia="Arial" w:hAnsi="Arial" w:cs="Arial"/>
          <w:color w:val="000000"/>
          <w:sz w:val="20"/>
          <w:szCs w:val="20"/>
        </w:rPr>
        <w:t xml:space="preserve"> </w:t>
      </w:r>
      <w:r w:rsidR="00777446">
        <w:rPr>
          <w:rFonts w:ascii="Arial" w:eastAsia="Arial" w:hAnsi="Arial" w:cs="Arial"/>
          <w:color w:val="000000"/>
          <w:sz w:val="20"/>
          <w:szCs w:val="20"/>
        </w:rPr>
        <w:t>(janwebps@hotmail.com</w:t>
      </w:r>
      <w:r w:rsidR="00051192">
        <w:rPr>
          <w:rFonts w:ascii="Arial" w:eastAsia="Arial" w:hAnsi="Arial" w:cs="Arial"/>
          <w:color w:val="000000"/>
          <w:sz w:val="20"/>
          <w:szCs w:val="20"/>
        </w:rPr>
        <w:t>)</w:t>
      </w:r>
    </w:p>
  </w:footnote>
  <w:footnote w:id="2">
    <w:p w14:paraId="00000048" w14:textId="77777777" w:rsidR="00EA700B" w:rsidRDefault="007B6A9B">
      <w:pPr>
        <w:spacing w:after="0" w:line="240" w:lineRule="auto"/>
        <w:rPr>
          <w:sz w:val="20"/>
          <w:szCs w:val="20"/>
        </w:rPr>
      </w:pPr>
      <w:r>
        <w:rPr>
          <w:vertAlign w:val="superscript"/>
        </w:rPr>
        <w:footnoteRef/>
      </w:r>
      <w:r>
        <w:rPr>
          <w:sz w:val="20"/>
          <w:szCs w:val="20"/>
        </w:rPr>
        <w:t xml:space="preserve"> </w:t>
      </w:r>
      <w:r>
        <w:rPr>
          <w:rFonts w:ascii="Arial" w:eastAsia="Arial" w:hAnsi="Arial" w:cs="Arial"/>
          <w:sz w:val="20"/>
          <w:szCs w:val="20"/>
        </w:rPr>
        <w:t>**(doutorado.jaquelinebonfim@gmail.com)</w:t>
      </w:r>
    </w:p>
  </w:footnote>
  <w:footnote w:id="3">
    <w:p w14:paraId="00000049" w14:textId="77777777" w:rsidR="00EA700B" w:rsidRDefault="007B6A9B">
      <w:pPr>
        <w:spacing w:after="0" w:line="240" w:lineRule="auto"/>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***(monicazan@uol.com.br)</w:t>
      </w:r>
    </w:p>
    <w:p w14:paraId="0000004A" w14:textId="77777777" w:rsidR="00EA700B" w:rsidRDefault="00EA700B">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3" w14:textId="77777777" w:rsidR="00EA700B" w:rsidRDefault="00EA700B">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4" w14:textId="77777777" w:rsidR="00EA700B" w:rsidRDefault="007B6A9B">
    <w:pPr>
      <w:pBdr>
        <w:top w:val="nil"/>
        <w:left w:val="nil"/>
        <w:bottom w:val="nil"/>
        <w:right w:val="nil"/>
        <w:between w:val="nil"/>
      </w:pBdr>
      <w:tabs>
        <w:tab w:val="center" w:pos="4252"/>
        <w:tab w:val="right" w:pos="8504"/>
      </w:tabs>
      <w:spacing w:after="0" w:line="240" w:lineRule="auto"/>
      <w:ind w:left="-1701"/>
      <w:rPr>
        <w:color w:val="000000"/>
      </w:rPr>
    </w:pPr>
    <w:r>
      <w:rPr>
        <w:noProof/>
        <w:color w:val="000000"/>
      </w:rPr>
      <w:drawing>
        <wp:inline distT="0" distB="0" distL="114300" distR="114300" wp14:anchorId="3D434621" wp14:editId="58E63FF8">
          <wp:extent cx="7587615" cy="1340485"/>
          <wp:effectExtent l="0" t="0" r="0" b="0"/>
          <wp:docPr id="10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7615" cy="13404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EA700B" w:rsidRDefault="00EA700B">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00B"/>
    <w:rsid w:val="00051192"/>
    <w:rsid w:val="000547D8"/>
    <w:rsid w:val="000C15CA"/>
    <w:rsid w:val="000C6773"/>
    <w:rsid w:val="000F6AAF"/>
    <w:rsid w:val="00112B4E"/>
    <w:rsid w:val="001769C8"/>
    <w:rsid w:val="001E7805"/>
    <w:rsid w:val="0022329B"/>
    <w:rsid w:val="00225A4D"/>
    <w:rsid w:val="002378E4"/>
    <w:rsid w:val="002B7F6A"/>
    <w:rsid w:val="002C6F2E"/>
    <w:rsid w:val="003203EE"/>
    <w:rsid w:val="003A7605"/>
    <w:rsid w:val="003C305A"/>
    <w:rsid w:val="003C5D12"/>
    <w:rsid w:val="003F1155"/>
    <w:rsid w:val="00422BFC"/>
    <w:rsid w:val="00466E69"/>
    <w:rsid w:val="00540956"/>
    <w:rsid w:val="00577B71"/>
    <w:rsid w:val="005E5561"/>
    <w:rsid w:val="006054BA"/>
    <w:rsid w:val="006523CB"/>
    <w:rsid w:val="00683299"/>
    <w:rsid w:val="006E5F07"/>
    <w:rsid w:val="006F6E58"/>
    <w:rsid w:val="007359C6"/>
    <w:rsid w:val="00777446"/>
    <w:rsid w:val="007B6A9B"/>
    <w:rsid w:val="007C3F31"/>
    <w:rsid w:val="0084687B"/>
    <w:rsid w:val="009117A1"/>
    <w:rsid w:val="009639E6"/>
    <w:rsid w:val="00A06A5E"/>
    <w:rsid w:val="00A0787A"/>
    <w:rsid w:val="00A121A8"/>
    <w:rsid w:val="00A20040"/>
    <w:rsid w:val="00A438C3"/>
    <w:rsid w:val="00A914F2"/>
    <w:rsid w:val="00AB0952"/>
    <w:rsid w:val="00AE159A"/>
    <w:rsid w:val="00BA2AEF"/>
    <w:rsid w:val="00BE40DD"/>
    <w:rsid w:val="00C949F8"/>
    <w:rsid w:val="00D00D4A"/>
    <w:rsid w:val="00D07660"/>
    <w:rsid w:val="00D7786A"/>
    <w:rsid w:val="00D947A6"/>
    <w:rsid w:val="00DC477E"/>
    <w:rsid w:val="00DD31B4"/>
    <w:rsid w:val="00E01249"/>
    <w:rsid w:val="00E54D5A"/>
    <w:rsid w:val="00EA700B"/>
    <w:rsid w:val="00EC7104"/>
    <w:rsid w:val="00EF5EFE"/>
    <w:rsid w:val="00F13354"/>
    <w:rsid w:val="00F740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A3EFB"/>
  <w15:docId w15:val="{972577A2-3A0C-4F36-83AC-F952CA21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balo">
    <w:name w:val="Balloon Text"/>
    <w:basedOn w:val="Normal"/>
    <w:qFormat/>
    <w:pPr>
      <w:suppressAutoHyphens/>
      <w:spacing w:after="0" w:line="240" w:lineRule="auto"/>
      <w:ind w:leftChars="-1" w:left="-1" w:hangingChars="1" w:hanging="1"/>
      <w:textDirection w:val="btLr"/>
      <w:textAlignment w:val="top"/>
      <w:outlineLvl w:val="0"/>
    </w:pPr>
    <w:rPr>
      <w:rFonts w:ascii="Tahoma" w:hAnsi="Tahoma" w:cs="Tahoma"/>
      <w:position w:val="-1"/>
      <w:sz w:val="16"/>
      <w:szCs w:val="16"/>
      <w:lang w:eastAsia="en-US"/>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table" w:styleId="Tabelacomgrade">
    <w:name w:val="Table Grid"/>
    <w:basedOn w:val="Tabela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qFormat/>
    <w:pPr>
      <w:tabs>
        <w:tab w:val="center" w:pos="4252"/>
        <w:tab w:val="right" w:pos="8504"/>
      </w:tabs>
      <w:suppressAutoHyphens/>
      <w:spacing w:after="0" w:line="240" w:lineRule="auto"/>
      <w:ind w:leftChars="-1" w:left="-1" w:hangingChars="1" w:hanging="1"/>
      <w:textDirection w:val="btLr"/>
      <w:textAlignment w:val="top"/>
      <w:outlineLvl w:val="0"/>
    </w:pPr>
    <w:rPr>
      <w:position w:val="-1"/>
      <w:lang w:eastAsia="en-US"/>
    </w:r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tabs>
        <w:tab w:val="center" w:pos="4252"/>
        <w:tab w:val="right" w:pos="8504"/>
      </w:tabs>
      <w:suppressAutoHyphens/>
      <w:spacing w:after="0" w:line="240" w:lineRule="auto"/>
      <w:ind w:leftChars="-1" w:left="-1" w:hangingChars="1" w:hanging="1"/>
      <w:textDirection w:val="btLr"/>
      <w:textAlignment w:val="top"/>
      <w:outlineLvl w:val="0"/>
    </w:pPr>
    <w:rPr>
      <w:position w:val="-1"/>
      <w:lang w:eastAsia="en-US"/>
    </w:rPr>
  </w:style>
  <w:style w:type="character" w:customStyle="1" w:styleId="RodapChar">
    <w:name w:val="Rodapé Char"/>
    <w:basedOn w:val="Fontepargpadro"/>
    <w:rPr>
      <w:w w:val="100"/>
      <w:position w:val="-1"/>
      <w:effect w:val="none"/>
      <w:vertAlign w:val="baseline"/>
      <w:cs w:val="0"/>
      <w:em w:val="none"/>
    </w:rPr>
  </w:style>
  <w:style w:type="paragraph" w:styleId="NormalWeb">
    <w:name w:val="Normal (Web)"/>
    <w:basedOn w:val="Normal"/>
    <w:uiPriority w:val="99"/>
    <w:qFormat/>
    <w:pPr>
      <w:suppressAutoHyphens/>
      <w:spacing w:before="100" w:beforeAutospacing="1" w:after="100" w:afterAutospacing="1" w:line="240" w:lineRule="auto"/>
      <w:ind w:leftChars="-1" w:left="-1" w:hangingChars="1" w:hanging="1"/>
      <w:textDirection w:val="btLr"/>
      <w:textAlignment w:val="top"/>
      <w:outlineLvl w:val="0"/>
    </w:pPr>
    <w:rPr>
      <w:rFonts w:ascii="Times New Roman" w:eastAsia="Times New Roman" w:hAnsi="Times New Roman"/>
      <w:position w:val="-1"/>
      <w:sz w:val="24"/>
      <w:szCs w:val="24"/>
    </w:rPr>
  </w:style>
  <w:style w:type="character" w:styleId="Hyperlink">
    <w:name w:val="Hyperlink"/>
    <w:qFormat/>
    <w:rPr>
      <w:color w:val="0563C1"/>
      <w:w w:val="100"/>
      <w:position w:val="-1"/>
      <w:u w:val="single"/>
      <w:effect w:val="none"/>
      <w:vertAlign w:val="baseline"/>
      <w:cs w:val="0"/>
      <w:em w:val="none"/>
    </w:rPr>
  </w:style>
  <w:style w:type="character" w:styleId="Forte">
    <w:name w:val="Strong"/>
    <w:uiPriority w:val="22"/>
    <w:qFormat/>
    <w:rPr>
      <w:b/>
      <w:b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Textodenotaderodap">
    <w:name w:val="footnote text"/>
    <w:basedOn w:val="Normal"/>
    <w:qFormat/>
    <w:pPr>
      <w:suppressAutoHyphens/>
      <w:ind w:leftChars="-1" w:left="-1" w:hangingChars="1" w:hanging="1"/>
      <w:textDirection w:val="btLr"/>
      <w:textAlignment w:val="top"/>
      <w:outlineLvl w:val="0"/>
    </w:pPr>
    <w:rPr>
      <w:position w:val="-1"/>
      <w:sz w:val="20"/>
      <w:szCs w:val="20"/>
      <w:lang w:eastAsia="en-US"/>
    </w:rPr>
  </w:style>
  <w:style w:type="character" w:customStyle="1" w:styleId="TextodenotaderodapChar">
    <w:name w:val="Texto de nota de rodapé Char"/>
    <w:rPr>
      <w:w w:val="100"/>
      <w:position w:val="-1"/>
      <w:effect w:val="none"/>
      <w:vertAlign w:val="baseline"/>
      <w:cs w:val="0"/>
      <w:em w:val="none"/>
      <w:lang w:eastAsia="en-US"/>
    </w:rPr>
  </w:style>
  <w:style w:type="character" w:styleId="Refdenotaderodap">
    <w:name w:val="footnote reference"/>
    <w:qFormat/>
    <w:rPr>
      <w:w w:val="100"/>
      <w:position w:val="-1"/>
      <w:effect w:val="none"/>
      <w:vertAlign w:val="superscript"/>
      <w:cs w:val="0"/>
      <w:em w:val="none"/>
    </w:rPr>
  </w:style>
  <w:style w:type="paragraph" w:styleId="Textodecomentrio">
    <w:name w:val="annotation text"/>
    <w:basedOn w:val="Normal"/>
    <w:qFormat/>
    <w:pPr>
      <w:suppressAutoHyphens/>
      <w:spacing w:after="0" w:line="240" w:lineRule="auto"/>
      <w:ind w:leftChars="-1" w:left="-1" w:hangingChars="1" w:hanging="1"/>
      <w:textDirection w:val="btLr"/>
      <w:textAlignment w:val="top"/>
      <w:outlineLvl w:val="0"/>
    </w:pPr>
    <w:rPr>
      <w:rFonts w:ascii="Times New Roman" w:eastAsia="Times New Roman" w:hAnsi="Times New Roman"/>
      <w:position w:val="-1"/>
      <w:sz w:val="20"/>
      <w:szCs w:val="20"/>
    </w:rPr>
  </w:style>
  <w:style w:type="character" w:customStyle="1" w:styleId="TextodecomentrioChar">
    <w:name w:val="Texto de comentário Char"/>
    <w:rPr>
      <w:rFonts w:ascii="Times New Roman" w:eastAsia="Times New Roman" w:hAnsi="Times New Roman"/>
      <w:w w:val="100"/>
      <w:position w:val="-1"/>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Assuntodocomentrio">
    <w:name w:val="annotation subject"/>
    <w:basedOn w:val="Textodecomentrio"/>
    <w:next w:val="Textodecomentrio"/>
    <w:qFormat/>
    <w:pPr>
      <w:spacing w:after="200" w:line="276" w:lineRule="auto"/>
    </w:pPr>
    <w:rPr>
      <w:rFonts w:ascii="Calibri" w:eastAsia="Calibri" w:hAnsi="Calibri"/>
      <w:b/>
      <w:bCs/>
      <w:lang w:eastAsia="en-US"/>
    </w:rPr>
  </w:style>
  <w:style w:type="character" w:customStyle="1" w:styleId="AssuntodocomentrioChar">
    <w:name w:val="Assunto do comentário Char"/>
    <w:rPr>
      <w:rFonts w:ascii="Times New Roman" w:eastAsia="Times New Roman" w:hAnsi="Times New Roman"/>
      <w:b/>
      <w:bCs/>
      <w:w w:val="100"/>
      <w:position w:val="-1"/>
      <w:effect w:val="none"/>
      <w:vertAlign w:val="baseline"/>
      <w:cs w:val="0"/>
      <w:em w:val="none"/>
      <w:lang w:eastAsia="en-US"/>
    </w:rPr>
  </w:style>
  <w:style w:type="paragraph" w:styleId="Reviso">
    <w:name w:val="Revision"/>
    <w:pPr>
      <w:suppressAutoHyphens/>
      <w:spacing w:line="1" w:lineRule="atLeast"/>
      <w:ind w:leftChars="-1" w:left="-1" w:hangingChars="1" w:hanging="1"/>
      <w:textDirection w:val="btLr"/>
      <w:textAlignment w:val="top"/>
      <w:outlineLvl w:val="0"/>
    </w:pPr>
    <w:rPr>
      <w:position w:val="-1"/>
      <w:lang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87167">
      <w:bodyDiv w:val="1"/>
      <w:marLeft w:val="0"/>
      <w:marRight w:val="0"/>
      <w:marTop w:val="0"/>
      <w:marBottom w:val="0"/>
      <w:divBdr>
        <w:top w:val="none" w:sz="0" w:space="0" w:color="auto"/>
        <w:left w:val="none" w:sz="0" w:space="0" w:color="auto"/>
        <w:bottom w:val="none" w:sz="0" w:space="0" w:color="auto"/>
        <w:right w:val="none" w:sz="0" w:space="0" w:color="auto"/>
      </w:divBdr>
    </w:div>
    <w:div w:id="585461965">
      <w:bodyDiv w:val="1"/>
      <w:marLeft w:val="0"/>
      <w:marRight w:val="0"/>
      <w:marTop w:val="0"/>
      <w:marBottom w:val="0"/>
      <w:divBdr>
        <w:top w:val="none" w:sz="0" w:space="0" w:color="auto"/>
        <w:left w:val="none" w:sz="0" w:space="0" w:color="auto"/>
        <w:bottom w:val="none" w:sz="0" w:space="0" w:color="auto"/>
        <w:right w:val="none" w:sz="0" w:space="0" w:color="auto"/>
      </w:divBdr>
    </w:div>
    <w:div w:id="627129614">
      <w:bodyDiv w:val="1"/>
      <w:marLeft w:val="0"/>
      <w:marRight w:val="0"/>
      <w:marTop w:val="0"/>
      <w:marBottom w:val="0"/>
      <w:divBdr>
        <w:top w:val="none" w:sz="0" w:space="0" w:color="auto"/>
        <w:left w:val="none" w:sz="0" w:space="0" w:color="auto"/>
        <w:bottom w:val="none" w:sz="0" w:space="0" w:color="auto"/>
        <w:right w:val="none" w:sz="0" w:space="0" w:color="auto"/>
      </w:divBdr>
    </w:div>
    <w:div w:id="712966321">
      <w:bodyDiv w:val="1"/>
      <w:marLeft w:val="0"/>
      <w:marRight w:val="0"/>
      <w:marTop w:val="0"/>
      <w:marBottom w:val="0"/>
      <w:divBdr>
        <w:top w:val="none" w:sz="0" w:space="0" w:color="auto"/>
        <w:left w:val="none" w:sz="0" w:space="0" w:color="auto"/>
        <w:bottom w:val="none" w:sz="0" w:space="0" w:color="auto"/>
        <w:right w:val="none" w:sz="0" w:space="0" w:color="auto"/>
      </w:divBdr>
    </w:div>
    <w:div w:id="736904535">
      <w:bodyDiv w:val="1"/>
      <w:marLeft w:val="0"/>
      <w:marRight w:val="0"/>
      <w:marTop w:val="0"/>
      <w:marBottom w:val="0"/>
      <w:divBdr>
        <w:top w:val="none" w:sz="0" w:space="0" w:color="auto"/>
        <w:left w:val="none" w:sz="0" w:space="0" w:color="auto"/>
        <w:bottom w:val="none" w:sz="0" w:space="0" w:color="auto"/>
        <w:right w:val="none" w:sz="0" w:space="0" w:color="auto"/>
      </w:divBdr>
    </w:div>
    <w:div w:id="997996909">
      <w:bodyDiv w:val="1"/>
      <w:marLeft w:val="0"/>
      <w:marRight w:val="0"/>
      <w:marTop w:val="0"/>
      <w:marBottom w:val="0"/>
      <w:divBdr>
        <w:top w:val="none" w:sz="0" w:space="0" w:color="auto"/>
        <w:left w:val="none" w:sz="0" w:space="0" w:color="auto"/>
        <w:bottom w:val="none" w:sz="0" w:space="0" w:color="auto"/>
        <w:right w:val="none" w:sz="0" w:space="0" w:color="auto"/>
      </w:divBdr>
      <w:divsChild>
        <w:div w:id="1939288139">
          <w:blockQuote w:val="1"/>
          <w:marLeft w:val="0"/>
          <w:marRight w:val="0"/>
          <w:marTop w:val="0"/>
          <w:marBottom w:val="0"/>
          <w:divBdr>
            <w:top w:val="none" w:sz="0" w:space="0" w:color="auto"/>
            <w:left w:val="single" w:sz="12" w:space="14" w:color="A3A3A3"/>
            <w:bottom w:val="none" w:sz="0" w:space="0" w:color="auto"/>
            <w:right w:val="none" w:sz="0" w:space="0" w:color="auto"/>
          </w:divBdr>
        </w:div>
        <w:div w:id="950865649">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091043680">
      <w:bodyDiv w:val="1"/>
      <w:marLeft w:val="0"/>
      <w:marRight w:val="0"/>
      <w:marTop w:val="0"/>
      <w:marBottom w:val="0"/>
      <w:divBdr>
        <w:top w:val="none" w:sz="0" w:space="0" w:color="auto"/>
        <w:left w:val="none" w:sz="0" w:space="0" w:color="auto"/>
        <w:bottom w:val="none" w:sz="0" w:space="0" w:color="auto"/>
        <w:right w:val="none" w:sz="0" w:space="0" w:color="auto"/>
      </w:divBdr>
    </w:div>
    <w:div w:id="1150905127">
      <w:bodyDiv w:val="1"/>
      <w:marLeft w:val="0"/>
      <w:marRight w:val="0"/>
      <w:marTop w:val="0"/>
      <w:marBottom w:val="0"/>
      <w:divBdr>
        <w:top w:val="none" w:sz="0" w:space="0" w:color="auto"/>
        <w:left w:val="none" w:sz="0" w:space="0" w:color="auto"/>
        <w:bottom w:val="none" w:sz="0" w:space="0" w:color="auto"/>
        <w:right w:val="none" w:sz="0" w:space="0" w:color="auto"/>
      </w:divBdr>
    </w:div>
    <w:div w:id="1202668412">
      <w:bodyDiv w:val="1"/>
      <w:marLeft w:val="0"/>
      <w:marRight w:val="0"/>
      <w:marTop w:val="0"/>
      <w:marBottom w:val="0"/>
      <w:divBdr>
        <w:top w:val="none" w:sz="0" w:space="0" w:color="auto"/>
        <w:left w:val="none" w:sz="0" w:space="0" w:color="auto"/>
        <w:bottom w:val="none" w:sz="0" w:space="0" w:color="auto"/>
        <w:right w:val="none" w:sz="0" w:space="0" w:color="auto"/>
      </w:divBdr>
    </w:div>
    <w:div w:id="1302077396">
      <w:bodyDiv w:val="1"/>
      <w:marLeft w:val="0"/>
      <w:marRight w:val="0"/>
      <w:marTop w:val="0"/>
      <w:marBottom w:val="0"/>
      <w:divBdr>
        <w:top w:val="none" w:sz="0" w:space="0" w:color="auto"/>
        <w:left w:val="none" w:sz="0" w:space="0" w:color="auto"/>
        <w:bottom w:val="none" w:sz="0" w:space="0" w:color="auto"/>
        <w:right w:val="none" w:sz="0" w:space="0" w:color="auto"/>
      </w:divBdr>
    </w:div>
    <w:div w:id="1333028882">
      <w:bodyDiv w:val="1"/>
      <w:marLeft w:val="0"/>
      <w:marRight w:val="0"/>
      <w:marTop w:val="0"/>
      <w:marBottom w:val="0"/>
      <w:divBdr>
        <w:top w:val="none" w:sz="0" w:space="0" w:color="auto"/>
        <w:left w:val="none" w:sz="0" w:space="0" w:color="auto"/>
        <w:bottom w:val="none" w:sz="0" w:space="0" w:color="auto"/>
        <w:right w:val="none" w:sz="0" w:space="0" w:color="auto"/>
      </w:divBdr>
    </w:div>
    <w:div w:id="1455515228">
      <w:bodyDiv w:val="1"/>
      <w:marLeft w:val="0"/>
      <w:marRight w:val="0"/>
      <w:marTop w:val="0"/>
      <w:marBottom w:val="0"/>
      <w:divBdr>
        <w:top w:val="none" w:sz="0" w:space="0" w:color="auto"/>
        <w:left w:val="none" w:sz="0" w:space="0" w:color="auto"/>
        <w:bottom w:val="none" w:sz="0" w:space="0" w:color="auto"/>
        <w:right w:val="none" w:sz="0" w:space="0" w:color="auto"/>
      </w:divBdr>
    </w:div>
    <w:div w:id="1461414808">
      <w:bodyDiv w:val="1"/>
      <w:marLeft w:val="0"/>
      <w:marRight w:val="0"/>
      <w:marTop w:val="0"/>
      <w:marBottom w:val="0"/>
      <w:divBdr>
        <w:top w:val="none" w:sz="0" w:space="0" w:color="auto"/>
        <w:left w:val="none" w:sz="0" w:space="0" w:color="auto"/>
        <w:bottom w:val="none" w:sz="0" w:space="0" w:color="auto"/>
        <w:right w:val="none" w:sz="0" w:space="0" w:color="auto"/>
      </w:divBdr>
    </w:div>
    <w:div w:id="1909538266">
      <w:bodyDiv w:val="1"/>
      <w:marLeft w:val="0"/>
      <w:marRight w:val="0"/>
      <w:marTop w:val="0"/>
      <w:marBottom w:val="0"/>
      <w:divBdr>
        <w:top w:val="none" w:sz="0" w:space="0" w:color="auto"/>
        <w:left w:val="none" w:sz="0" w:space="0" w:color="auto"/>
        <w:bottom w:val="none" w:sz="0" w:space="0" w:color="auto"/>
        <w:right w:val="none" w:sz="0" w:space="0" w:color="auto"/>
      </w:divBdr>
    </w:div>
    <w:div w:id="1922523633">
      <w:bodyDiv w:val="1"/>
      <w:marLeft w:val="0"/>
      <w:marRight w:val="0"/>
      <w:marTop w:val="0"/>
      <w:marBottom w:val="0"/>
      <w:divBdr>
        <w:top w:val="none" w:sz="0" w:space="0" w:color="auto"/>
        <w:left w:val="none" w:sz="0" w:space="0" w:color="auto"/>
        <w:bottom w:val="none" w:sz="0" w:space="0" w:color="auto"/>
        <w:right w:val="none" w:sz="0" w:space="0" w:color="auto"/>
      </w:divBdr>
    </w:div>
    <w:div w:id="1935940476">
      <w:bodyDiv w:val="1"/>
      <w:marLeft w:val="0"/>
      <w:marRight w:val="0"/>
      <w:marTop w:val="0"/>
      <w:marBottom w:val="0"/>
      <w:divBdr>
        <w:top w:val="none" w:sz="0" w:space="0" w:color="auto"/>
        <w:left w:val="none" w:sz="0" w:space="0" w:color="auto"/>
        <w:bottom w:val="none" w:sz="0" w:space="0" w:color="auto"/>
        <w:right w:val="none" w:sz="0" w:space="0" w:color="auto"/>
      </w:divBdr>
      <w:divsChild>
        <w:div w:id="1604341377">
          <w:blockQuote w:val="1"/>
          <w:marLeft w:val="0"/>
          <w:marRight w:val="0"/>
          <w:marTop w:val="0"/>
          <w:marBottom w:val="0"/>
          <w:divBdr>
            <w:top w:val="none" w:sz="0" w:space="0" w:color="auto"/>
            <w:left w:val="single" w:sz="12" w:space="14" w:color="A3A3A3"/>
            <w:bottom w:val="none" w:sz="0" w:space="0" w:color="auto"/>
            <w:right w:val="none" w:sz="0" w:space="0" w:color="auto"/>
          </w:divBdr>
        </w:div>
        <w:div w:id="140819001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2136755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rotocolo.pr.gov.br/spiweb/validarDocumento?codigo=89f5035738d334c3b0be46363b39312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r.cut.org.br/noticias/parceiro-da-escola-mas-por-alguns-milhoes-de-reais-5b08"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TYR+vYMk+cUcaHG40p/ornO0Cw==">CgMxLjAaJwoBMBIiCiAIBCocCgtBQUFCbmt2NDlfURAIGgtBQUFCbmt2NDlfUSLhAQoLQUFBQm5rdjQ5X1ESsQEKC0FBQUJua3Y0OV9REgtBQUFCbmt2NDlfURoVCgl0ZXh0L2h0bWwSCGNvbmZlcmlyIhYKCnRleHQvcGxhaW4SCGNvbmZlcmlyKhsiFTEwMDI0OTU0ODM2OTgzMDY1NDQ0MigAOAAw6ObCq4MzOOjmwquDM0oRCgp0ZXh0L3BsYWluEgNPcmdaDGFyaXRmNXlzanVybnICIAB4AJoBBggAEAAYAKoBChIIY29uZmVyaXIY6ObCq4MzIOjmwquDM0IQa2l4Lm8wZXF2NTMzdjQycjIOaC5rMDh3bGtoZmFrMTU4AHIhMWFsVFU3RjJYQUMyNFRQUGJZWnd2OFhRTkFDaFZULU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2971</Words>
  <Characters>16047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Fabio Perboni</cp:lastModifiedBy>
  <cp:revision>7</cp:revision>
  <cp:lastPrinted>2025-12-05T00:10:00Z</cp:lastPrinted>
  <dcterms:created xsi:type="dcterms:W3CDTF">2025-07-23T13:56:00Z</dcterms:created>
  <dcterms:modified xsi:type="dcterms:W3CDTF">2025-12-05T00:10:00Z</dcterms:modified>
</cp:coreProperties>
</file>