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06BE" w:rsidRDefault="000D11F0">
      <w:pPr>
        <w:spacing w:after="283"/>
        <w:jc w:val="center"/>
        <w:rPr>
          <w:sz w:val="20"/>
          <w:szCs w:val="20"/>
        </w:rPr>
      </w:pPr>
      <w:r>
        <w:rPr>
          <w:b/>
          <w:sz w:val="20"/>
          <w:szCs w:val="20"/>
        </w:rPr>
        <w:t>COLONIZAÇÃO E NACIONALIZAÇÃO DOS TERRITÓRIOS GUARANI E KAIOWÁ NA REGIÃO DA TRÍPLICE FRONTEIRA ENTRE ARGENTINA, BRASIL E PARAGUAI</w:t>
      </w:r>
    </w:p>
    <w:p w:rsidR="009206BE" w:rsidRDefault="000D11F0">
      <w:pPr>
        <w:spacing w:after="283"/>
        <w:jc w:val="both"/>
      </w:pPr>
      <w:r>
        <w:rPr>
          <w:b/>
          <w:sz w:val="20"/>
          <w:szCs w:val="20"/>
        </w:rPr>
        <w:t xml:space="preserve">Instituição: </w:t>
      </w:r>
      <w:r>
        <w:rPr>
          <w:sz w:val="20"/>
          <w:szCs w:val="20"/>
        </w:rPr>
        <w:t>Universidade Estadual do Mato Grosso do Sul (UEMS)</w:t>
      </w:r>
    </w:p>
    <w:p w:rsidR="009206BE" w:rsidRDefault="000D11F0">
      <w:pPr>
        <w:spacing w:after="283"/>
        <w:jc w:val="both"/>
      </w:pPr>
      <w:r>
        <w:rPr>
          <w:b/>
          <w:sz w:val="20"/>
          <w:szCs w:val="20"/>
        </w:rPr>
        <w:t xml:space="preserve">Área temática: </w:t>
      </w:r>
      <w:r>
        <w:rPr>
          <w:sz w:val="20"/>
          <w:szCs w:val="20"/>
        </w:rPr>
        <w:t>Ciências Sociais Aplicadas</w:t>
      </w:r>
    </w:p>
    <w:p w:rsidR="009206BE" w:rsidRDefault="000D11F0">
      <w:pPr>
        <w:pBdr>
          <w:top w:val="nil"/>
          <w:left w:val="nil"/>
          <w:bottom w:val="nil"/>
          <w:right w:val="nil"/>
          <w:between w:val="nil"/>
        </w:pBdr>
        <w:spacing w:after="283"/>
        <w:jc w:val="both"/>
        <w:rPr>
          <w:color w:val="000000"/>
          <w:sz w:val="24"/>
          <w:szCs w:val="24"/>
        </w:rPr>
      </w:pPr>
      <w:r>
        <w:rPr>
          <w:b/>
          <w:sz w:val="20"/>
          <w:szCs w:val="20"/>
        </w:rPr>
        <w:t>SANTOS</w:t>
      </w:r>
      <w:r>
        <w:rPr>
          <w:b/>
          <w:color w:val="000000"/>
          <w:sz w:val="20"/>
          <w:szCs w:val="20"/>
        </w:rPr>
        <w:t xml:space="preserve">, </w:t>
      </w:r>
      <w:r>
        <w:rPr>
          <w:sz w:val="20"/>
          <w:szCs w:val="20"/>
        </w:rPr>
        <w:t>Thiago Ferreira dos</w:t>
      </w:r>
      <w:r>
        <w:rPr>
          <w:sz w:val="20"/>
          <w:szCs w:val="20"/>
          <w:vertAlign w:val="superscript"/>
        </w:rPr>
        <w:t>1</w:t>
      </w:r>
      <w:r>
        <w:rPr>
          <w:color w:val="000000"/>
          <w:sz w:val="20"/>
          <w:szCs w:val="20"/>
        </w:rPr>
        <w:t xml:space="preserve"> </w:t>
      </w:r>
      <w:r>
        <w:rPr>
          <w:sz w:val="20"/>
          <w:szCs w:val="20"/>
        </w:rPr>
        <w:t>(06605552121@academicos.uems.br)</w:t>
      </w:r>
      <w:r>
        <w:rPr>
          <w:color w:val="000000"/>
          <w:sz w:val="20"/>
          <w:szCs w:val="20"/>
        </w:rPr>
        <w:t>;</w:t>
      </w:r>
      <w:r>
        <w:rPr>
          <w:b/>
          <w:color w:val="000000"/>
          <w:sz w:val="20"/>
          <w:szCs w:val="20"/>
        </w:rPr>
        <w:t xml:space="preserve"> </w:t>
      </w:r>
      <w:r>
        <w:rPr>
          <w:b/>
          <w:sz w:val="20"/>
          <w:szCs w:val="20"/>
        </w:rPr>
        <w:t>CALEIRO</w:t>
      </w:r>
      <w:r>
        <w:rPr>
          <w:b/>
          <w:color w:val="000000"/>
          <w:sz w:val="20"/>
          <w:szCs w:val="20"/>
        </w:rPr>
        <w:t xml:space="preserve">, </w:t>
      </w:r>
      <w:r>
        <w:rPr>
          <w:sz w:val="20"/>
          <w:szCs w:val="20"/>
        </w:rPr>
        <w:t>Manuel Munhoz</w:t>
      </w:r>
      <w:r>
        <w:rPr>
          <w:sz w:val="20"/>
          <w:szCs w:val="20"/>
          <w:vertAlign w:val="superscript"/>
        </w:rPr>
        <w:t>2</w:t>
      </w:r>
      <w:r>
        <w:rPr>
          <w:color w:val="000000"/>
          <w:sz w:val="20"/>
          <w:szCs w:val="20"/>
        </w:rPr>
        <w:t xml:space="preserve"> </w:t>
      </w:r>
      <w:r>
        <w:rPr>
          <w:b/>
          <w:color w:val="000000"/>
          <w:sz w:val="20"/>
          <w:szCs w:val="20"/>
        </w:rPr>
        <w:t xml:space="preserve"> (</w:t>
      </w:r>
      <w:r>
        <w:rPr>
          <w:sz w:val="20"/>
          <w:szCs w:val="20"/>
        </w:rPr>
        <w:t>manuel.caleiro@uems.br</w:t>
      </w:r>
      <w:r>
        <w:rPr>
          <w:color w:val="000000"/>
          <w:sz w:val="20"/>
          <w:szCs w:val="20"/>
        </w:rPr>
        <w:t>)</w:t>
      </w:r>
    </w:p>
    <w:p w:rsidR="009206BE" w:rsidRDefault="000D11F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vertAlign w:val="superscript"/>
        </w:rPr>
        <w:t>1</w:t>
      </w:r>
      <w:r>
        <w:rPr>
          <w:color w:val="000000"/>
          <w:sz w:val="20"/>
          <w:szCs w:val="20"/>
        </w:rPr>
        <w:t xml:space="preserve"> </w:t>
      </w:r>
      <w:r>
        <w:rPr>
          <w:sz w:val="20"/>
          <w:szCs w:val="20"/>
        </w:rPr>
        <w:t>Graduando em Direito pela Universidade Estadual do Mato Grosso do Sul. Participante do grupo de pesquisa Conflitos Socioambientais.</w:t>
      </w:r>
    </w:p>
    <w:p w:rsidR="009206BE" w:rsidRDefault="000D11F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vertAlign w:val="superscript"/>
        </w:rPr>
        <w:t>2</w:t>
      </w:r>
      <w:r>
        <w:rPr>
          <w:color w:val="000000"/>
          <w:sz w:val="20"/>
          <w:szCs w:val="20"/>
        </w:rPr>
        <w:t xml:space="preserve"> </w:t>
      </w:r>
      <w:r>
        <w:rPr>
          <w:sz w:val="20"/>
          <w:szCs w:val="20"/>
        </w:rPr>
        <w:t xml:space="preserve"> Doutor em Dire</w:t>
      </w:r>
      <w:r>
        <w:rPr>
          <w:sz w:val="20"/>
          <w:szCs w:val="20"/>
        </w:rPr>
        <w:t>ito Socioambiental e Sustentabilidade pela Pontifícia Universidade Católica do Paraná (PUCPR). Líder do Grupo de Pesquisa Conflitos Socioambientais. Professor adjunto do Curso de Direito, da Unidade Universitária Naviraí, da Universidade Estadual do Mato G</w:t>
      </w:r>
      <w:r>
        <w:rPr>
          <w:sz w:val="20"/>
          <w:szCs w:val="20"/>
        </w:rPr>
        <w:t>rosso do Sul (UEMS). Professor do Programa de Pós-Graduação em Educação e Territorialidade, na Linha de Pesquisa Território e Sustentabilidade, da Faculdade Intercultural Indígena (FAIND), da Universidade Federal da Grande Dourados (UFGD). Professor do Pro</w:t>
      </w:r>
      <w:r>
        <w:rPr>
          <w:sz w:val="20"/>
          <w:szCs w:val="20"/>
        </w:rPr>
        <w:t>grama de Pós-Graduação em Direito Agrário, da Universidade Federal de Goiás (UFG).</w:t>
      </w:r>
    </w:p>
    <w:p w:rsidR="009206BE" w:rsidRDefault="009206BE">
      <w:pPr>
        <w:spacing w:after="283"/>
        <w:jc w:val="both"/>
        <w:rPr>
          <w:sz w:val="20"/>
          <w:szCs w:val="20"/>
          <w:vertAlign w:val="superscript"/>
        </w:rPr>
      </w:pPr>
    </w:p>
    <w:p w:rsidR="009206BE" w:rsidRDefault="000D11F0">
      <w:pPr>
        <w:spacing w:after="283"/>
        <w:jc w:val="both"/>
        <w:rPr>
          <w:color w:val="FF0000"/>
          <w:sz w:val="20"/>
          <w:szCs w:val="20"/>
        </w:rPr>
      </w:pPr>
      <w:r w:rsidRPr="003F5908">
        <w:rPr>
          <w:sz w:val="20"/>
          <w:szCs w:val="20"/>
        </w:rPr>
        <w:t>A presente pesquisa se coloca a analisar e compreender os processos de colonização e nacionalização dos territórios Guarani e Kaiowá na região da tríplice fronteira entre Argentina, Brasil e Paraguai, tendo como objetivos norteadores: pesquisar as presença</w:t>
      </w:r>
      <w:r w:rsidRPr="003F5908">
        <w:rPr>
          <w:sz w:val="20"/>
          <w:szCs w:val="20"/>
        </w:rPr>
        <w:t>s territoriais historicamente verificadas na região da tríplice fronteira; compreender as dinâmicas socioeconômicas do processo de colonização nacional na região pesquisada e identificar os impactos da colonização e nacionalização aos territórios Guarani e</w:t>
      </w:r>
      <w:r w:rsidRPr="003F5908">
        <w:rPr>
          <w:sz w:val="20"/>
          <w:szCs w:val="20"/>
        </w:rPr>
        <w:t xml:space="preserve"> </w:t>
      </w:r>
      <w:r w:rsidRPr="003F5908">
        <w:rPr>
          <w:sz w:val="20"/>
          <w:szCs w:val="20"/>
        </w:rPr>
        <w:t>Kaiowá situados na região abordada</w:t>
      </w:r>
      <w:r w:rsidRPr="003F5908">
        <w:rPr>
          <w:sz w:val="20"/>
          <w:szCs w:val="20"/>
        </w:rPr>
        <w:t>. Trata-se</w:t>
      </w:r>
      <w:r w:rsidR="003F5908" w:rsidRPr="003F5908">
        <w:rPr>
          <w:sz w:val="20"/>
          <w:szCs w:val="20"/>
        </w:rPr>
        <w:t>,</w:t>
      </w:r>
      <w:r w:rsidRPr="003F5908">
        <w:rPr>
          <w:sz w:val="20"/>
          <w:szCs w:val="20"/>
        </w:rPr>
        <w:t xml:space="preserve"> portanto, de uma pesquisa bibliográfica, monográfica e qualitativa</w:t>
      </w:r>
      <w:r w:rsidR="003F5908" w:rsidRPr="003F5908">
        <w:rPr>
          <w:sz w:val="20"/>
          <w:szCs w:val="20"/>
        </w:rPr>
        <w:t xml:space="preserve">. É </w:t>
      </w:r>
      <w:r w:rsidRPr="003F5908">
        <w:rPr>
          <w:sz w:val="20"/>
          <w:szCs w:val="20"/>
        </w:rPr>
        <w:t xml:space="preserve">válido ressaltar que </w:t>
      </w:r>
      <w:r w:rsidR="003F5908" w:rsidRPr="003F5908">
        <w:rPr>
          <w:sz w:val="20"/>
          <w:szCs w:val="20"/>
        </w:rPr>
        <w:t>o estudo</w:t>
      </w:r>
      <w:r w:rsidRPr="003F5908">
        <w:rPr>
          <w:sz w:val="20"/>
          <w:szCs w:val="20"/>
        </w:rPr>
        <w:t xml:space="preserve"> foi realizad</w:t>
      </w:r>
      <w:r w:rsidR="003F5908" w:rsidRPr="003F5908">
        <w:rPr>
          <w:sz w:val="20"/>
          <w:szCs w:val="20"/>
        </w:rPr>
        <w:t>o</w:t>
      </w:r>
      <w:r w:rsidRPr="003F5908">
        <w:rPr>
          <w:sz w:val="20"/>
          <w:szCs w:val="20"/>
        </w:rPr>
        <w:t xml:space="preserve"> no âmbito de um período de internacionalização nos territórios estudados, tendo os autores </w:t>
      </w:r>
      <w:r w:rsidR="00DB0F52">
        <w:rPr>
          <w:sz w:val="20"/>
          <w:szCs w:val="20"/>
        </w:rPr>
        <w:t>feito</w:t>
      </w:r>
      <w:r w:rsidRPr="003F5908">
        <w:rPr>
          <w:sz w:val="20"/>
          <w:szCs w:val="20"/>
        </w:rPr>
        <w:t xml:space="preserve"> um intercâmbio por um período de pouco mais de um mês para a realização da revisão </w:t>
      </w:r>
      <w:r w:rsidRPr="003F5908">
        <w:rPr>
          <w:sz w:val="20"/>
          <w:szCs w:val="20"/>
        </w:rPr>
        <w:t xml:space="preserve">bibliográfica, </w:t>
      </w:r>
      <w:r w:rsidRPr="003F5908">
        <w:rPr>
          <w:sz w:val="20"/>
          <w:szCs w:val="20"/>
        </w:rPr>
        <w:t xml:space="preserve">bem como </w:t>
      </w:r>
      <w:r w:rsidR="003F5908" w:rsidRPr="003F5908">
        <w:rPr>
          <w:sz w:val="20"/>
          <w:szCs w:val="20"/>
        </w:rPr>
        <w:t>participaram de</w:t>
      </w:r>
      <w:r w:rsidRPr="003F5908">
        <w:rPr>
          <w:sz w:val="20"/>
          <w:szCs w:val="20"/>
        </w:rPr>
        <w:t xml:space="preserve"> eventos que corroboram para o estudo. </w:t>
      </w:r>
      <w:r w:rsidRPr="00886A42">
        <w:rPr>
          <w:sz w:val="20"/>
          <w:szCs w:val="20"/>
        </w:rPr>
        <w:t>Como base teórico-metodológica, tem-se o materialismo histórico dialético enquanto método nortead</w:t>
      </w:r>
      <w:r w:rsidRPr="00886A42">
        <w:rPr>
          <w:sz w:val="20"/>
          <w:szCs w:val="20"/>
        </w:rPr>
        <w:t xml:space="preserve">or da pesquisa, na tentativa de entender e captar os </w:t>
      </w:r>
      <w:r w:rsidRPr="00886A42">
        <w:rPr>
          <w:sz w:val="20"/>
          <w:szCs w:val="20"/>
        </w:rPr>
        <w:t>processos históricos contraditórios</w:t>
      </w:r>
      <w:r w:rsidRPr="00886A42">
        <w:rPr>
          <w:sz w:val="20"/>
          <w:szCs w:val="20"/>
        </w:rPr>
        <w:t xml:space="preserve"> em suas diversas variáveis</w:t>
      </w:r>
      <w:r w:rsidRPr="00886A42">
        <w:rPr>
          <w:sz w:val="20"/>
          <w:szCs w:val="20"/>
        </w:rPr>
        <w:t xml:space="preserve"> e nu</w:t>
      </w:r>
      <w:r w:rsidR="00886A42" w:rsidRPr="00886A42">
        <w:rPr>
          <w:sz w:val="20"/>
          <w:szCs w:val="20"/>
        </w:rPr>
        <w:t>ances</w:t>
      </w:r>
      <w:r w:rsidRPr="00886A42">
        <w:rPr>
          <w:sz w:val="20"/>
          <w:szCs w:val="20"/>
        </w:rPr>
        <w:t xml:space="preserve">. Assim, o trabalho </w:t>
      </w:r>
      <w:r w:rsidR="00886A42" w:rsidRPr="00886A42">
        <w:rPr>
          <w:sz w:val="20"/>
          <w:szCs w:val="20"/>
        </w:rPr>
        <w:t>abrange</w:t>
      </w:r>
      <w:r w:rsidRPr="00886A42">
        <w:rPr>
          <w:sz w:val="20"/>
          <w:szCs w:val="20"/>
        </w:rPr>
        <w:t xml:space="preserve"> toda a trajetória do início e desenvolvimento da colonização ibérica na região </w:t>
      </w:r>
      <w:r w:rsidRPr="00886A42">
        <w:rPr>
          <w:sz w:val="20"/>
          <w:szCs w:val="20"/>
        </w:rPr>
        <w:t xml:space="preserve">e seus institutos de </w:t>
      </w:r>
      <w:r w:rsidRPr="00886A42">
        <w:rPr>
          <w:sz w:val="20"/>
          <w:szCs w:val="20"/>
        </w:rPr>
        <w:t xml:space="preserve">dominação, como as sesmarias e as </w:t>
      </w:r>
      <w:r w:rsidRPr="00886A42">
        <w:rPr>
          <w:i/>
          <w:sz w:val="20"/>
          <w:szCs w:val="20"/>
        </w:rPr>
        <w:t>encomiendas</w:t>
      </w:r>
      <w:r w:rsidRPr="00886A42">
        <w:rPr>
          <w:sz w:val="20"/>
          <w:szCs w:val="20"/>
        </w:rPr>
        <w:t xml:space="preserve">. </w:t>
      </w:r>
      <w:r w:rsidRPr="00886A42">
        <w:rPr>
          <w:sz w:val="20"/>
          <w:szCs w:val="20"/>
        </w:rPr>
        <w:t xml:space="preserve">Após a independência do Paraguai e seu </w:t>
      </w:r>
      <w:r w:rsidRPr="00886A42">
        <w:rPr>
          <w:sz w:val="20"/>
          <w:szCs w:val="20"/>
        </w:rPr>
        <w:t xml:space="preserve">distanciamento do </w:t>
      </w:r>
      <w:r w:rsidRPr="00886A42">
        <w:rPr>
          <w:sz w:val="20"/>
          <w:szCs w:val="20"/>
        </w:rPr>
        <w:t xml:space="preserve">mercado internacional, iniciou-se uma nova </w:t>
      </w:r>
      <w:r w:rsidRPr="00886A42">
        <w:rPr>
          <w:sz w:val="20"/>
          <w:szCs w:val="20"/>
        </w:rPr>
        <w:t xml:space="preserve">forma de exploração da erva mate e de madeiras preciosas na região: </w:t>
      </w:r>
      <w:r w:rsidRPr="00886A42">
        <w:rPr>
          <w:sz w:val="20"/>
          <w:szCs w:val="20"/>
        </w:rPr>
        <w:t xml:space="preserve">as </w:t>
      </w:r>
      <w:r w:rsidRPr="00886A42">
        <w:rPr>
          <w:i/>
          <w:sz w:val="20"/>
          <w:szCs w:val="20"/>
        </w:rPr>
        <w:t>obrages</w:t>
      </w:r>
      <w:r w:rsidRPr="00886A42">
        <w:rPr>
          <w:sz w:val="20"/>
          <w:szCs w:val="20"/>
        </w:rPr>
        <w:t xml:space="preserve">. </w:t>
      </w:r>
      <w:r w:rsidRPr="00886A42">
        <w:rPr>
          <w:sz w:val="20"/>
          <w:szCs w:val="20"/>
        </w:rPr>
        <w:t>Estas</w:t>
      </w:r>
      <w:r w:rsidRPr="00886A42">
        <w:rPr>
          <w:sz w:val="20"/>
          <w:szCs w:val="20"/>
        </w:rPr>
        <w:t xml:space="preserve"> se materializam na ext</w:t>
      </w:r>
      <w:r w:rsidRPr="00886A42">
        <w:rPr>
          <w:sz w:val="20"/>
          <w:szCs w:val="20"/>
        </w:rPr>
        <w:t xml:space="preserve">ração de </w:t>
      </w:r>
      <w:r w:rsidRPr="00886A42">
        <w:rPr>
          <w:sz w:val="20"/>
          <w:szCs w:val="20"/>
        </w:rPr>
        <w:t xml:space="preserve">recursos utilizando mão de obra nativa, devastando as riquezas naturais dos territórios </w:t>
      </w:r>
      <w:r w:rsidRPr="00886A42">
        <w:rPr>
          <w:sz w:val="20"/>
          <w:szCs w:val="20"/>
        </w:rPr>
        <w:t xml:space="preserve">que assim colocassem os seus tentáculos. </w:t>
      </w:r>
      <w:r w:rsidRPr="00886A42">
        <w:rPr>
          <w:sz w:val="20"/>
          <w:szCs w:val="20"/>
        </w:rPr>
        <w:t>O estudo</w:t>
      </w:r>
      <w:r w:rsidRPr="00886A42">
        <w:rPr>
          <w:sz w:val="20"/>
          <w:szCs w:val="20"/>
        </w:rPr>
        <w:t xml:space="preserve"> também se </w:t>
      </w:r>
      <w:r w:rsidR="00886A42" w:rsidRPr="00886A42">
        <w:rPr>
          <w:sz w:val="20"/>
          <w:szCs w:val="20"/>
        </w:rPr>
        <w:t>dedica</w:t>
      </w:r>
      <w:r w:rsidRPr="00886A42">
        <w:rPr>
          <w:sz w:val="20"/>
          <w:szCs w:val="20"/>
        </w:rPr>
        <w:t xml:space="preserve"> a entender a nacionalização do </w:t>
      </w:r>
      <w:r w:rsidRPr="00886A42">
        <w:rPr>
          <w:i/>
          <w:sz w:val="20"/>
          <w:szCs w:val="20"/>
        </w:rPr>
        <w:t>Yvy Mbyte</w:t>
      </w:r>
      <w:r w:rsidRPr="00886A42">
        <w:rPr>
          <w:sz w:val="20"/>
          <w:szCs w:val="20"/>
        </w:rPr>
        <w:t xml:space="preserve">, centro da terra, local da </w:t>
      </w:r>
      <w:r w:rsidRPr="00886A42">
        <w:rPr>
          <w:sz w:val="20"/>
          <w:szCs w:val="20"/>
        </w:rPr>
        <w:t>etnogênese da identidad</w:t>
      </w:r>
      <w:r w:rsidRPr="00886A42">
        <w:rPr>
          <w:sz w:val="20"/>
          <w:szCs w:val="20"/>
        </w:rPr>
        <w:t xml:space="preserve">e </w:t>
      </w:r>
      <w:r w:rsidRPr="00886A42">
        <w:rPr>
          <w:sz w:val="20"/>
          <w:szCs w:val="20"/>
        </w:rPr>
        <w:t xml:space="preserve">guarani. </w:t>
      </w:r>
      <w:r w:rsidRPr="00886A42">
        <w:rPr>
          <w:sz w:val="20"/>
          <w:szCs w:val="20"/>
        </w:rPr>
        <w:t xml:space="preserve">Com a destruição do </w:t>
      </w:r>
      <w:r w:rsidRPr="00886A42">
        <w:rPr>
          <w:i/>
          <w:sz w:val="20"/>
          <w:szCs w:val="20"/>
        </w:rPr>
        <w:t>Yvy Mbyte</w:t>
      </w:r>
      <w:r w:rsidRPr="00886A42">
        <w:rPr>
          <w:sz w:val="20"/>
          <w:szCs w:val="20"/>
        </w:rPr>
        <w:t>, es</w:t>
      </w:r>
      <w:r w:rsidR="00886A42" w:rsidRPr="00886A42">
        <w:rPr>
          <w:sz w:val="20"/>
          <w:szCs w:val="20"/>
        </w:rPr>
        <w:t>s</w:t>
      </w:r>
      <w:r w:rsidRPr="00886A42">
        <w:rPr>
          <w:sz w:val="20"/>
          <w:szCs w:val="20"/>
        </w:rPr>
        <w:t xml:space="preserve">es povos foram </w:t>
      </w:r>
      <w:r w:rsidRPr="00886A42">
        <w:rPr>
          <w:sz w:val="20"/>
          <w:szCs w:val="20"/>
        </w:rPr>
        <w:t>obrigados a viver</w:t>
      </w:r>
      <w:r w:rsidRPr="00886A42">
        <w:rPr>
          <w:sz w:val="20"/>
          <w:szCs w:val="20"/>
        </w:rPr>
        <w:t xml:space="preserve"> em pequenos </w:t>
      </w:r>
      <w:r w:rsidRPr="00886A42">
        <w:rPr>
          <w:sz w:val="20"/>
          <w:szCs w:val="20"/>
        </w:rPr>
        <w:t xml:space="preserve">pedaços de terra às margens </w:t>
      </w:r>
      <w:r w:rsidRPr="00886A42">
        <w:rPr>
          <w:sz w:val="20"/>
          <w:szCs w:val="20"/>
        </w:rPr>
        <w:t xml:space="preserve">do Rio Paraná. </w:t>
      </w:r>
      <w:r w:rsidRPr="00886A42">
        <w:rPr>
          <w:sz w:val="20"/>
          <w:szCs w:val="20"/>
        </w:rPr>
        <w:t xml:space="preserve">Isso se deu até o século XX, </w:t>
      </w:r>
      <w:r w:rsidR="00886A42" w:rsidRPr="00886A42">
        <w:rPr>
          <w:sz w:val="20"/>
          <w:szCs w:val="20"/>
        </w:rPr>
        <w:t xml:space="preserve">quando ocorreu </w:t>
      </w:r>
      <w:r w:rsidRPr="00886A42">
        <w:rPr>
          <w:sz w:val="20"/>
          <w:szCs w:val="20"/>
        </w:rPr>
        <w:t xml:space="preserve">o alagamento da pedra que canta: a construção da binacional Itaipu, que retirou </w:t>
      </w:r>
      <w:r w:rsidRPr="00886A42">
        <w:rPr>
          <w:sz w:val="20"/>
          <w:szCs w:val="20"/>
        </w:rPr>
        <w:t>o último refúgio do apocalipse colonial vivido por esses povos</w:t>
      </w:r>
      <w:r w:rsidRPr="00886A42">
        <w:rPr>
          <w:sz w:val="20"/>
          <w:szCs w:val="20"/>
        </w:rPr>
        <w:t xml:space="preserve">. Conclui-se, </w:t>
      </w:r>
      <w:r w:rsidRPr="00886A42">
        <w:rPr>
          <w:sz w:val="20"/>
          <w:szCs w:val="20"/>
        </w:rPr>
        <w:t>portanto</w:t>
      </w:r>
      <w:r w:rsidRPr="00886A42">
        <w:rPr>
          <w:sz w:val="20"/>
          <w:szCs w:val="20"/>
        </w:rPr>
        <w:t xml:space="preserve">, que </w:t>
      </w:r>
      <w:r w:rsidRPr="00E5092B">
        <w:rPr>
          <w:sz w:val="20"/>
          <w:szCs w:val="20"/>
        </w:rPr>
        <w:t xml:space="preserve">históricamente, os povos Guarani e Kaiowá presentes na região da tríplice fronteira foram invisibilizados, </w:t>
      </w:r>
      <w:r w:rsidRPr="00E5092B">
        <w:rPr>
          <w:sz w:val="20"/>
          <w:szCs w:val="20"/>
        </w:rPr>
        <w:t>colocados à</w:t>
      </w:r>
      <w:r w:rsidRPr="00E5092B">
        <w:rPr>
          <w:sz w:val="20"/>
          <w:szCs w:val="20"/>
        </w:rPr>
        <w:t xml:space="preserve"> marge</w:t>
      </w:r>
      <w:r w:rsidR="00886A42" w:rsidRPr="00E5092B">
        <w:rPr>
          <w:sz w:val="20"/>
          <w:szCs w:val="20"/>
        </w:rPr>
        <w:t>m</w:t>
      </w:r>
      <w:r w:rsidRPr="00E5092B">
        <w:rPr>
          <w:sz w:val="20"/>
          <w:szCs w:val="20"/>
        </w:rPr>
        <w:t xml:space="preserve"> de uma sociedade, inicialmente colonia</w:t>
      </w:r>
      <w:r w:rsidRPr="00E5092B">
        <w:rPr>
          <w:sz w:val="20"/>
          <w:szCs w:val="20"/>
        </w:rPr>
        <w:t>l, e posteriormente nacional. Apesar de tudo, os povos indígenas resistem!</w:t>
      </w:r>
    </w:p>
    <w:p w:rsidR="009206BE" w:rsidRDefault="000D11F0">
      <w:pPr>
        <w:spacing w:after="283"/>
        <w:jc w:val="both"/>
        <w:rPr>
          <w:sz w:val="20"/>
          <w:szCs w:val="20"/>
        </w:rPr>
      </w:pPr>
      <w:r>
        <w:rPr>
          <w:b/>
          <w:sz w:val="20"/>
          <w:szCs w:val="20"/>
        </w:rPr>
        <w:t>PALAVRAS-CHAVE:</w:t>
      </w:r>
      <w:r>
        <w:rPr>
          <w:sz w:val="20"/>
          <w:szCs w:val="20"/>
        </w:rPr>
        <w:t xml:space="preserve"> Povos indígenas, tekoha, territorialidade.</w:t>
      </w:r>
    </w:p>
    <w:p w:rsidR="009206BE" w:rsidRDefault="000D11F0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AGRADECIMENTOS:</w:t>
      </w:r>
      <w:r>
        <w:rPr>
          <w:sz w:val="20"/>
          <w:szCs w:val="20"/>
        </w:rPr>
        <w:t xml:space="preserve"> Gostaria de expressar minha gratidão à UEMS pela concessão de bolsa e auxílio mobilidade para a realização</w:t>
      </w:r>
      <w:r>
        <w:rPr>
          <w:sz w:val="20"/>
          <w:szCs w:val="20"/>
        </w:rPr>
        <w:t xml:space="preserve"> de um intercâmbio </w:t>
      </w:r>
      <w:r w:rsidR="00514ABF">
        <w:rPr>
          <w:sz w:val="20"/>
          <w:szCs w:val="20"/>
        </w:rPr>
        <w:t xml:space="preserve">de </w:t>
      </w:r>
      <w:r>
        <w:rPr>
          <w:sz w:val="20"/>
          <w:szCs w:val="20"/>
        </w:rPr>
        <w:t>pesquisa. Foi uma oportunidade única e valiosa para o meu desenvolvimento acadêmico e pessoal. Agradeço também ao órgão de intercâmbio ARELIN pela atenção durante a realização do processo de internacionalização. Agradeço também os</w:t>
      </w:r>
      <w:r>
        <w:rPr>
          <w:sz w:val="20"/>
          <w:szCs w:val="20"/>
        </w:rPr>
        <w:t xml:space="preserve"> professores orientadores Manuel Munhoz Caleiro e Amanda Ferraz da Silveira pela orientação, pela amizade, pela companhia nos eventos e pela troca de experiências enriquecedoras durante o período de realização da pesquisa. Vocês foram fundamentais para o s</w:t>
      </w:r>
      <w:r>
        <w:rPr>
          <w:sz w:val="20"/>
          <w:szCs w:val="20"/>
        </w:rPr>
        <w:t>ucesso do meu trabalho e para o meu crescimento acadêmico e crescimento da pesquisa. Sou muito grato por ter tido a chance de aprender com vocês e de compartilhar essa jornada incrível.</w:t>
      </w:r>
      <w:bookmarkStart w:id="0" w:name="_GoBack"/>
      <w:bookmarkEnd w:id="0"/>
    </w:p>
    <w:sectPr w:rsidR="009206B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0" w:right="1134" w:bottom="1133" w:left="1134" w:header="283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11F0" w:rsidRDefault="000D11F0">
      <w:r>
        <w:separator/>
      </w:r>
    </w:p>
  </w:endnote>
  <w:endnote w:type="continuationSeparator" w:id="0">
    <w:p w:rsidR="000D11F0" w:rsidRDefault="000D1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06BE" w:rsidRDefault="009206B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06BE" w:rsidRDefault="000D11F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noProof/>
        <w:color w:val="000000"/>
      </w:rPr>
      <w:drawing>
        <wp:inline distT="0" distB="0" distL="0" distR="0">
          <wp:extent cx="1008380" cy="501650"/>
          <wp:effectExtent l="0" t="0" r="0" b="0"/>
          <wp:docPr id="1" name="image2.png" descr="Logotip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ogotipo&#10;&#10;Descrição gerada automaticamente"/>
                  <pic:cNvPicPr preferRelativeResize="0"/>
                </pic:nvPicPr>
                <pic:blipFill>
                  <a:blip r:embed="rId1"/>
                  <a:srcRect t="15137" b="14476"/>
                  <a:stretch>
                    <a:fillRect/>
                  </a:stretch>
                </pic:blipFill>
                <pic:spPr>
                  <a:xfrm>
                    <a:off x="0" y="0"/>
                    <a:ext cx="1008380" cy="501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636</wp:posOffset>
          </wp:positionH>
          <wp:positionV relativeFrom="paragraph">
            <wp:posOffset>48260</wp:posOffset>
          </wp:positionV>
          <wp:extent cx="1605915" cy="453390"/>
          <wp:effectExtent l="0" t="0" r="0" b="0"/>
          <wp:wrapSquare wrapText="bothSides" distT="0" distB="0" distL="114300" distR="114300"/>
          <wp:docPr id="5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05915" cy="4533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06BE" w:rsidRDefault="000D11F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noProof/>
        <w:color w:val="000000"/>
      </w:rPr>
      <w:drawing>
        <wp:inline distT="0" distB="0" distL="0" distR="0">
          <wp:extent cx="1008380" cy="501650"/>
          <wp:effectExtent l="0" t="0" r="0" b="0"/>
          <wp:docPr id="6" name="image2.png" descr="Logotip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ogotipo&#10;&#10;Descrição gerada automaticamente"/>
                  <pic:cNvPicPr preferRelativeResize="0"/>
                </pic:nvPicPr>
                <pic:blipFill>
                  <a:blip r:embed="rId1"/>
                  <a:srcRect t="15137" b="14476"/>
                  <a:stretch>
                    <a:fillRect/>
                  </a:stretch>
                </pic:blipFill>
                <pic:spPr>
                  <a:xfrm>
                    <a:off x="0" y="0"/>
                    <a:ext cx="1008380" cy="501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1312" behindDoc="0" locked="0" layoutInCell="1" hidden="0" allowOverlap="1">
          <wp:simplePos x="0" y="0"/>
          <wp:positionH relativeFrom="column">
            <wp:posOffset>636</wp:posOffset>
          </wp:positionH>
          <wp:positionV relativeFrom="paragraph">
            <wp:posOffset>48260</wp:posOffset>
          </wp:positionV>
          <wp:extent cx="1605915" cy="453390"/>
          <wp:effectExtent l="0" t="0" r="0" b="0"/>
          <wp:wrapSquare wrapText="bothSides" distT="0" distB="0" distL="114300" distR="11430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05915" cy="4533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11F0" w:rsidRDefault="000D11F0">
      <w:r>
        <w:separator/>
      </w:r>
    </w:p>
  </w:footnote>
  <w:footnote w:type="continuationSeparator" w:id="0">
    <w:p w:rsidR="000D11F0" w:rsidRDefault="000D11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06BE" w:rsidRDefault="009206B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06BE" w:rsidRDefault="000D11F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-539114</wp:posOffset>
          </wp:positionH>
          <wp:positionV relativeFrom="paragraph">
            <wp:posOffset>-8254</wp:posOffset>
          </wp:positionV>
          <wp:extent cx="7185660" cy="899160"/>
          <wp:effectExtent l="0" t="0" r="0" b="0"/>
          <wp:wrapSquare wrapText="bothSides" distT="0" distB="0" distL="0" distR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85660" cy="8991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06BE" w:rsidRDefault="000D11F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w:drawing>
        <wp:anchor distT="0" distB="0" distL="0" distR="0" simplePos="0" relativeHeight="251659264" behindDoc="0" locked="0" layoutInCell="1" hidden="0" allowOverlap="1">
          <wp:simplePos x="0" y="0"/>
          <wp:positionH relativeFrom="column">
            <wp:posOffset>-539114</wp:posOffset>
          </wp:positionH>
          <wp:positionV relativeFrom="paragraph">
            <wp:posOffset>-8254</wp:posOffset>
          </wp:positionV>
          <wp:extent cx="7185660" cy="899160"/>
          <wp:effectExtent l="0" t="0" r="0" b="0"/>
          <wp:wrapSquare wrapText="bothSides" distT="0" distB="0" distL="0" distR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85660" cy="8991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6BE"/>
    <w:rsid w:val="000D11F0"/>
    <w:rsid w:val="003F5908"/>
    <w:rsid w:val="00514ABF"/>
    <w:rsid w:val="007C36AF"/>
    <w:rsid w:val="00886A42"/>
    <w:rsid w:val="009206BE"/>
    <w:rsid w:val="00DB0F52"/>
    <w:rsid w:val="00E50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96701"/>
  <w15:docId w15:val="{4817A2B8-2C75-4B91-9E1B-B802A5B46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spacing w:before="134"/>
      <w:ind w:left="102"/>
      <w:outlineLvl w:val="0"/>
    </w:pPr>
    <w:rPr>
      <w:b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spacing w:before="19"/>
      <w:ind w:left="411" w:right="429"/>
      <w:jc w:val="center"/>
    </w:pPr>
    <w:rPr>
      <w:rFonts w:ascii="Calibri" w:eastAsia="Calibri" w:hAnsi="Calibri" w:cs="Calibri"/>
      <w:b/>
      <w:sz w:val="28"/>
      <w:szCs w:val="2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679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Asus</cp:lastModifiedBy>
  <cp:revision>4</cp:revision>
  <dcterms:created xsi:type="dcterms:W3CDTF">2023-09-04T20:59:00Z</dcterms:created>
  <dcterms:modified xsi:type="dcterms:W3CDTF">2023-09-04T21:42:00Z</dcterms:modified>
</cp:coreProperties>
</file>