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0"/>
        <w:ind w:left="-5" w:hanging="1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Resposta da cana-de-açúcar à inoculação de </w:t>
      </w:r>
      <w:r>
        <w:rPr>
          <w:b/>
          <w:bCs/>
          <w:i/>
          <w:iCs/>
          <w:sz w:val="32"/>
          <w:szCs w:val="32"/>
        </w:rPr>
        <w:t xml:space="preserve">Azospirillum brasilense </w:t>
      </w:r>
      <w:r>
        <w:rPr>
          <w:b/>
          <w:bCs/>
          <w:sz w:val="32"/>
          <w:szCs w:val="32"/>
        </w:rPr>
        <w:t>como bactéria solubilizadora de fosfato em solos de baixa e alta disponibilidade de fósforo e adubados com fertilizantes minerais e orgânicos</w:t>
      </w:r>
    </w:p>
    <w:p>
      <w:pPr>
        <w:pStyle w:val="Corpodotexto"/>
        <w:spacing w:before="9" w:after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Corpodotexto"/>
        <w:spacing w:before="9" w:after="0"/>
        <w:jc w:val="both"/>
        <w:rPr/>
      </w:pPr>
      <w:r>
        <w:rPr>
          <w:b/>
          <w:bCs/>
        </w:rPr>
        <w:t>Instituição:</w:t>
      </w:r>
      <w:r>
        <w:rPr/>
        <w:t xml:space="preserve"> Universidade Estadual de Mato Grosso do Sul/UUC </w:t>
      </w:r>
    </w:p>
    <w:p>
      <w:pPr>
        <w:pStyle w:val="Corpodotexto"/>
        <w:spacing w:before="9" w:after="0"/>
        <w:jc w:val="both"/>
        <w:rPr/>
      </w:pPr>
      <w:r>
        <w:rPr/>
      </w:r>
    </w:p>
    <w:p>
      <w:pPr>
        <w:pStyle w:val="Corpodotexto"/>
        <w:spacing w:before="9" w:after="0"/>
        <w:jc w:val="both"/>
        <w:rPr>
          <w:b/>
          <w:b/>
          <w:bCs/>
        </w:rPr>
      </w:pPr>
      <w:r>
        <w:rPr>
          <w:b/>
          <w:bCs/>
        </w:rPr>
        <w:t>Área temática:</w:t>
      </w:r>
      <w:r>
        <w:rPr/>
        <w:t xml:space="preserve"> Ciência Agrária – Agronomia/Fitotecnia</w:t>
      </w:r>
    </w:p>
    <w:p>
      <w:pPr>
        <w:pStyle w:val="Corpodotexto"/>
        <w:spacing w:before="9" w:after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Corpodotexto"/>
        <w:spacing w:before="9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FERREIRA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Laura Martins</w:t>
      </w:r>
      <w:r>
        <w:rPr>
          <w:b/>
          <w:bCs/>
          <w:sz w:val="20"/>
          <w:szCs w:val="20"/>
        </w:rPr>
        <w:t>¹ (</w:t>
      </w:r>
      <w:hyperlink r:id="rId2">
        <w:r>
          <w:rPr>
            <w:rStyle w:val="LinkdaInternet"/>
            <w:sz w:val="20"/>
            <w:szCs w:val="20"/>
          </w:rPr>
          <w:t>lauramartinsferreira45@gmail.com</w:t>
        </w:r>
      </w:hyperlink>
      <w:r>
        <w:rPr>
          <w:sz w:val="20"/>
          <w:szCs w:val="20"/>
          <w:lang w:eastAsia="pt-BR"/>
        </w:rPr>
        <w:t xml:space="preserve">); </w:t>
      </w:r>
      <w:r>
        <w:rPr>
          <w:b/>
          <w:bCs/>
          <w:sz w:val="20"/>
          <w:szCs w:val="20"/>
          <w:lang w:eastAsia="pt-BR"/>
        </w:rPr>
        <w:t>ALVES</w:t>
      </w:r>
      <w:r>
        <w:rPr>
          <w:sz w:val="20"/>
          <w:szCs w:val="20"/>
          <w:lang w:eastAsia="pt-BR"/>
        </w:rPr>
        <w:t xml:space="preserve">, </w:t>
      </w:r>
      <w:r>
        <w:rPr>
          <w:sz w:val="20"/>
          <w:szCs w:val="20"/>
        </w:rPr>
        <w:t>Vitória Carolina Dantas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(</w:t>
      </w:r>
      <w:hyperlink r:id="rId3">
        <w:r>
          <w:rPr>
            <w:rStyle w:val="LinkdaInternet"/>
            <w:sz w:val="20"/>
            <w:szCs w:val="20"/>
          </w:rPr>
          <w:t>dantasalvesv@gmail.com</w:t>
        </w:r>
      </w:hyperlink>
      <w:r>
        <w:rPr>
          <w:sz w:val="20"/>
          <w:szCs w:val="20"/>
        </w:rPr>
        <w:t>); SALLES, Jussara Souza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(jus_sarasalles@hotmail.com); </w:t>
      </w:r>
      <w:r>
        <w:rPr>
          <w:b/>
          <w:bCs/>
          <w:sz w:val="20"/>
          <w:szCs w:val="20"/>
        </w:rPr>
        <w:t>SILVA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Fagner Luiz Rodrigues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(</w:t>
      </w:r>
      <w:hyperlink r:id="rId4">
        <w:r>
          <w:rPr>
            <w:rStyle w:val="LinkdaInternet"/>
            <w:sz w:val="20"/>
            <w:szCs w:val="20"/>
            <w:lang w:eastAsia="pt-BR"/>
          </w:rPr>
          <w:t>fagnerluis98@gmail.com</w:t>
        </w:r>
      </w:hyperlink>
      <w:r>
        <w:rPr>
          <w:rStyle w:val="LinkdaInternet"/>
          <w:color w:val="auto"/>
          <w:sz w:val="20"/>
          <w:szCs w:val="20"/>
          <w:lang w:eastAsia="pt-BR"/>
        </w:rPr>
        <w:t>);</w:t>
      </w:r>
      <w:r>
        <w:rPr>
          <w:sz w:val="20"/>
          <w:szCs w:val="20"/>
        </w:rPr>
        <w:t xml:space="preserve"> STEINER, Fábio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posOffset>8255</wp:posOffset>
            </wp:positionH>
            <wp:positionV relativeFrom="page">
              <wp:posOffset>0</wp:posOffset>
            </wp:positionV>
            <wp:extent cx="7550150" cy="1075055"/>
            <wp:effectExtent l="0" t="0" r="0" b="0"/>
            <wp:wrapTopAndBottom/>
            <wp:docPr id="1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page">
              <wp:posOffset>1995805</wp:posOffset>
            </wp:positionH>
            <wp:positionV relativeFrom="page">
              <wp:posOffset>9770745</wp:posOffset>
            </wp:positionV>
            <wp:extent cx="3569970" cy="918210"/>
            <wp:effectExtent l="0" t="0" r="0" b="0"/>
            <wp:wrapTopAndBottom/>
            <wp:docPr id="2" name="Picture 6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(steiner@uems.br). 1Discente do curso de Agronomia da UEMS – Cassilândia; 2Docente do curso de Agronomia da UEMS – Cassilândia.</w:t>
      </w:r>
    </w:p>
    <w:p>
      <w:pPr>
        <w:pStyle w:val="Textodocorpo2"/>
        <w:spacing w:lineRule="auto" w:line="24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RESUMO</w:t>
      </w:r>
      <w:bookmarkStart w:id="0" w:name="_Hlk81217843"/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: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O Brasil é o maior produtor de cana-de-açúcar (</w:t>
      </w:r>
      <w:r>
        <w:rPr>
          <w:rFonts w:cs="Times New Roman" w:ascii="Times New Roman" w:hAnsi="Times New Roman"/>
          <w:bCs/>
          <w:sz w:val="24"/>
          <w:szCs w:val="24"/>
        </w:rPr>
        <w:t>Saccharum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 spp.) do mundo sendo uma cultura de grande importância para o agronegócio brasileiro entando intimamente relacionada a produção de biocombustíveis, açúcar e a utilização de seus subprodutos para a produção de bioenergia. A elevada produtuvidade entretanto, é dependente de grande quantidade de fertilizantes minerais principalmente os fertilizantes fosfatados devendo-se a alta capacidade de fixação de fósforo (P) no solo não tornando-o disponível para às plantas. A utilização de bactérias solubilizadoras de fosfato (PSB) é vista como uma estratégia para aumentar a disponibilidade de P, visto que apresentam capacidade de solubilizar e mineralizar diferentes fontes de P no solo entre eles os subprodutos provenientes do setor sucroenergético. A preocupação com o destino final dos subprodutos oriundo do setor sucroenergéticos tem impulsionado à sua utilização para o cultivo da própria cana-de-açúcar e reduzir os custos com fertilizantes minerais. Um dos componentes utilizados na produção de cana-de-açúcar é a torta de filtro na qual apresenta teores variados de nitrogênio, fósforo e potássio e quando aplicados no sulco de plantio pode substituir parcialmente a adubação mineral na cultura da cana de açúcar. Com base nas informações relatadas, o objetivo do presente trabalho foi avaliar a eficiência da inoculação das mudas pré-brotadas com </w:t>
      </w:r>
      <w:r>
        <w:rPr>
          <w:rFonts w:cs="Times New Roman" w:ascii="Times New Roman" w:hAnsi="Times New Roman"/>
          <w:bCs/>
          <w:sz w:val="24"/>
          <w:szCs w:val="24"/>
        </w:rPr>
        <w:t>Azospirillum brasilense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 no crescimento e desenvolvimento da cana-de-açúcar cultivadas em solos com alta e baixa disponibilidade de P e submetidas a adubação mineral e orgânica. O delineamento experimental utilizado foi o de blocos ao acaso, disposto em esquema fatorial 2 x 2 x 2 com quatro repetições. O primeiro fator foi constituído por dois tratamentos de inoculação [ sem inoculação (controle), e com inoculação das mudas com </w:t>
      </w:r>
      <w:r>
        <w:rPr>
          <w:rFonts w:cs="Times New Roman" w:ascii="Times New Roman" w:hAnsi="Times New Roman"/>
          <w:bCs/>
          <w:sz w:val="24"/>
          <w:szCs w:val="24"/>
        </w:rPr>
        <w:t>Azospirillum brasilense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]. E o segundo fator foi constituído por dois sistemas de manejo de adubação [adubação mineral e adubação orgânica], em solos com alta e baixa disponibilidade de P. As avaliações realizadas foram altura de plantas (AP), diâmetro do colmo (DC), número de folhas por perfilho (NF), número de perfilhos por planta (NP) e matéria seca total (MST). A inoculação das mudas pré-brotadas de cana-de-açúcar não influenciou nos parâmtros avaliados, a utilização da torta de filtro como fonte de adubo orgânico pode ser realizada desde que se empregue a adubação mineral como complementação.</w:t>
      </w:r>
      <w:bookmarkEnd w:id="0"/>
    </w:p>
    <w:p>
      <w:pPr>
        <w:pStyle w:val="Normal"/>
        <w:ind w:left="-5" w:hanging="10"/>
        <w:rPr/>
      </w:pPr>
      <w:r>
        <w:rPr>
          <w:b/>
        </w:rPr>
        <w:t>PALAVRAS-CHAVE:</w:t>
      </w:r>
      <w:r>
        <w:rPr/>
        <w:t xml:space="preserve"> </w:t>
      </w:r>
      <w:r>
        <w:rPr>
          <w:szCs w:val="24"/>
        </w:rPr>
        <w:t xml:space="preserve">Azospirillum brasilense, bactérias solubilizadoras de fosfato, </w:t>
      </w:r>
      <w:r>
        <w:rPr>
          <w:i/>
          <w:iCs/>
          <w:szCs w:val="24"/>
        </w:rPr>
        <w:t xml:space="preserve">Saccharum </w:t>
      </w:r>
      <w:r>
        <w:rPr>
          <w:szCs w:val="24"/>
        </w:rPr>
        <w:t>spp.</w:t>
      </w:r>
    </w:p>
    <w:p>
      <w:pPr>
        <w:pStyle w:val="Normal"/>
        <w:spacing w:before="0" w:after="10"/>
        <w:ind w:left="-5" w:hanging="10"/>
        <w:rPr/>
      </w:pPr>
      <w:r>
        <w:rPr>
          <w:b/>
        </w:rPr>
        <w:t>AGRADECIMENTOS:</w:t>
      </w:r>
      <w:r>
        <w:rPr/>
        <w:t xml:space="preserve"> O presente trabalho foi realizado com apoio da UEMS, Programa Institucional de Iniciação Científica - PIC/UEMS.</w:t>
      </w:r>
    </w:p>
    <w:p>
      <w:pPr>
        <w:pStyle w:val="Normal"/>
        <w:spacing w:lineRule="auto" w:line="237" w:before="0" w:after="3"/>
        <w:ind w:left="-5" w:right="-2" w:hanging="10"/>
        <w:rPr/>
      </w:pPr>
      <w:r>
        <w:rPr/>
      </w:r>
    </w:p>
    <w:p>
      <w:pPr>
        <w:pStyle w:val="Normal"/>
        <w:spacing w:lineRule="auto" w:line="237" w:before="0" w:after="3"/>
        <w:ind w:left="-5" w:right="-2" w:hanging="10"/>
        <w:rPr/>
      </w:pPr>
      <w:r>
        <w:rPr/>
      </w:r>
    </w:p>
    <w:sectPr>
      <w:type w:val="nextPage"/>
      <w:pgSz w:w="11906" w:h="16838"/>
      <w:pgMar w:left="1136" w:right="1132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242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uiPriority w:val="1"/>
    <w:qFormat/>
    <w:rsid w:val="001b0ea4"/>
    <w:rPr>
      <w:rFonts w:ascii="Times New Roman" w:hAnsi="Times New Roman" w:eastAsia="Times New Roman" w:cs="Times New Roman"/>
      <w:sz w:val="24"/>
      <w:szCs w:val="24"/>
      <w:lang w:val="pt-PT" w:eastAsia="en-US"/>
    </w:rPr>
  </w:style>
  <w:style w:type="character" w:styleId="LinkdaInternet">
    <w:name w:val="Link da Internet"/>
    <w:basedOn w:val="DefaultParagraphFont"/>
    <w:uiPriority w:val="99"/>
    <w:unhideWhenUsed/>
    <w:rsid w:val="001b0ea4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69a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0369a1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0369a1"/>
    <w:rPr>
      <w:rFonts w:ascii="Times New Roman" w:hAnsi="Times New Roman" w:eastAsia="Times New Roman" w:cs="Times New Roman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f5ec7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1b0ea4"/>
    <w:pPr>
      <w:widowControl w:val="false"/>
      <w:spacing w:lineRule="auto" w:line="240" w:before="0" w:after="0"/>
      <w:ind w:left="0" w:hanging="0"/>
      <w:jc w:val="left"/>
    </w:pPr>
    <w:rPr>
      <w:color w:val="auto"/>
      <w:szCs w:val="24"/>
      <w:lang w:val="pt-PT" w:eastAsia="en-US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Default" w:customStyle="1">
    <w:name w:val="Default"/>
    <w:qFormat/>
    <w:rsid w:val="001b0ea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eastAsia="en-US" w:val="pt-BR" w:bidi="ar-SA"/>
    </w:rPr>
  </w:style>
  <w:style w:type="paragraph" w:styleId="Textodocorpo2" w:customStyle="1">
    <w:name w:val="Texto do corpo (2)"/>
    <w:basedOn w:val="Normal"/>
    <w:qFormat/>
    <w:rsid w:val="001b0ea4"/>
    <w:pPr>
      <w:widowControl w:val="false"/>
      <w:shd w:val="clear" w:color="auto" w:fill="FFFFFF"/>
      <w:suppressAutoHyphens w:val="true"/>
      <w:spacing w:lineRule="exact" w:line="355" w:before="120" w:after="360"/>
      <w:ind w:left="0" w:hanging="0"/>
      <w:jc w:val="left"/>
    </w:pPr>
    <w:rPr>
      <w:rFonts w:ascii="Arial" w:hAnsi="Arial" w:cs="Arial"/>
      <w:i/>
      <w:iCs/>
      <w:color w:val="auto"/>
      <w:sz w:val="15"/>
      <w:szCs w:val="15"/>
      <w:lang w:val="pt-PT" w:eastAsia="zh-CN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369a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369a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uramartinsferreira45@gmail.com" TargetMode="External"/><Relationship Id="rId3" Type="http://schemas.openxmlformats.org/officeDocument/2006/relationships/hyperlink" Target="mailto:dantasalvesv@gmail.com" TargetMode="External"/><Relationship Id="rId4" Type="http://schemas.openxmlformats.org/officeDocument/2006/relationships/hyperlink" Target="mailto:fagnerluis98@gmail.com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LibreOffice/7.3.1.3$Windows_X86_64 LibreOffice_project/a69ca51ded25f3eefd52d7bf9a5fad8c90b87951</Application>
  <AppVersion>15.0000</AppVersion>
  <Pages>1</Pages>
  <Words>473</Words>
  <Characters>2896</Characters>
  <CharactersWithSpaces>3365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2022-09-14T23:26:00Z</dcterms:created>
  <dc:creator>Leticia Horbach Gonçalves</dc:creator>
  <dc:description/>
  <dc:language>pt-BR</dc:language>
  <cp:lastModifiedBy>Laura</cp:lastModifiedBy>
  <dcterms:modified xsi:type="dcterms:W3CDTF">2022-09-16T00:10:00Z</dcterms:modified>
  <cp:revision>10</cp:revision>
  <dc:subject/>
  <dc:title>A QUÍMICA DOS AROMAS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