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E4" w:rsidRDefault="009E1C94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 ÍNDICE DE MEMBRANAS DEGRADADAS COMO UM TESTE DE VIGOR EM SEMENTES DE ALGODÃO</w:t>
      </w:r>
    </w:p>
    <w:p w:rsidR="00F91AE4" w:rsidRDefault="009E1C94">
      <w:pPr>
        <w:pStyle w:val="Corpodetexto"/>
        <w:spacing w:line="360" w:lineRule="auto"/>
        <w:jc w:val="both"/>
      </w:pPr>
      <w:r>
        <w:rPr>
          <w:b/>
          <w:bCs/>
          <w:color w:val="000000"/>
        </w:rPr>
        <w:t xml:space="preserve">Instituição: </w:t>
      </w:r>
      <w:r>
        <w:rPr>
          <w:color w:val="000000"/>
        </w:rPr>
        <w:t>UNIVERSIDADE ESTADUAL DE MATO GROSSO DO SUL</w:t>
      </w:r>
    </w:p>
    <w:p w:rsidR="00F91AE4" w:rsidRDefault="009E1C94">
      <w:pPr>
        <w:pStyle w:val="Corpodetexto"/>
        <w:spacing w:line="360" w:lineRule="auto"/>
        <w:jc w:val="both"/>
      </w:pPr>
      <w:r>
        <w:rPr>
          <w:b/>
          <w:color w:val="000000"/>
        </w:rPr>
        <w:t>Área temática:</w:t>
      </w:r>
      <w:r>
        <w:rPr>
          <w:b/>
          <w:bCs/>
          <w:color w:val="000000"/>
        </w:rPr>
        <w:t xml:space="preserve"> </w:t>
      </w:r>
      <w:r>
        <w:t>Agronomia - Fitotecnia</w:t>
      </w:r>
    </w:p>
    <w:p w:rsidR="00F91AE4" w:rsidRDefault="009E1C94">
      <w:pPr>
        <w:pStyle w:val="Corpodetexto"/>
        <w:jc w:val="both"/>
      </w:pPr>
      <w:r>
        <w:rPr>
          <w:rFonts w:eastAsia="Calibri"/>
          <w:sz w:val="20"/>
          <w:szCs w:val="20"/>
          <w:lang w:eastAsia="zh-CN"/>
        </w:rPr>
        <w:t>SILVA, Kelly Gabriela Pereira da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(</w:t>
      </w:r>
      <w:r>
        <w:rPr>
          <w:rStyle w:val="LinkdaInternet"/>
          <w:rFonts w:eastAsia="Calibri"/>
          <w:color w:val="000000"/>
          <w:sz w:val="20"/>
          <w:szCs w:val="20"/>
          <w:u w:val="none"/>
          <w:lang w:eastAsia="zh-CN"/>
        </w:rPr>
        <w:t>kellygsilva11@gmail.com</w:t>
      </w:r>
      <w:r>
        <w:rPr>
          <w:rFonts w:eastAsia="Calibri"/>
          <w:sz w:val="20"/>
          <w:szCs w:val="20"/>
          <w:lang w:eastAsia="zh-CN"/>
        </w:rPr>
        <w:t>); OLIVEI</w:t>
      </w:r>
      <w:r>
        <w:rPr>
          <w:rFonts w:eastAsia="Calibri"/>
          <w:sz w:val="20"/>
          <w:szCs w:val="20"/>
          <w:lang w:eastAsia="zh-CN"/>
        </w:rPr>
        <w:t xml:space="preserve">RA, Izadora </w:t>
      </w:r>
      <w:r>
        <w:rPr>
          <w:rFonts w:eastAsia="Calibri"/>
          <w:sz w:val="20"/>
          <w:szCs w:val="20"/>
          <w:lang w:eastAsia="zh-CN"/>
        </w:rPr>
        <w:t>Araujo</w:t>
      </w:r>
      <w:r>
        <w:rPr>
          <w:rFonts w:eastAsia="Calibri"/>
          <w:sz w:val="20"/>
          <w:szCs w:val="20"/>
          <w:vertAlign w:val="superscript"/>
          <w:lang w:eastAsia="zh-CN"/>
        </w:rPr>
        <w:t xml:space="preserve">2 </w:t>
      </w:r>
      <w:r>
        <w:rPr>
          <w:rFonts w:eastAsia="Calibri"/>
          <w:sz w:val="20"/>
          <w:szCs w:val="20"/>
          <w:lang w:eastAsia="zh-CN"/>
        </w:rPr>
        <w:t>(</w:t>
      </w:r>
      <w:r>
        <w:rPr>
          <w:rFonts w:eastAsia="Calibri"/>
          <w:color w:val="000000"/>
          <w:sz w:val="20"/>
          <w:szCs w:val="20"/>
          <w:lang w:eastAsia="zh-CN"/>
        </w:rPr>
        <w:t>izaaraujo2605@gmail.com</w:t>
      </w:r>
      <w:r>
        <w:rPr>
          <w:rFonts w:eastAsia="Calibri"/>
          <w:sz w:val="20"/>
          <w:szCs w:val="20"/>
          <w:lang w:eastAsia="zh-CN"/>
        </w:rPr>
        <w:t>)</w:t>
      </w:r>
      <w:r>
        <w:rPr>
          <w:rFonts w:eastAsia="Calibri"/>
          <w:sz w:val="20"/>
          <w:szCs w:val="20"/>
          <w:lang w:eastAsia="zh-CN"/>
        </w:rPr>
        <w:t>; FERREIRA, João Pedro de Souza Barbosa</w:t>
      </w: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(</w:t>
      </w:r>
      <w:r>
        <w:rPr>
          <w:rFonts w:eastAsia="Calibri"/>
          <w:color w:val="000000"/>
          <w:sz w:val="20"/>
          <w:szCs w:val="20"/>
          <w:lang w:eastAsia="zh-CN"/>
        </w:rPr>
        <w:t>jp_ferreira.08@hotmail.com</w:t>
      </w:r>
      <w:r>
        <w:rPr>
          <w:rFonts w:eastAsia="Calibri"/>
          <w:sz w:val="20"/>
          <w:szCs w:val="20"/>
          <w:lang w:eastAsia="zh-CN"/>
        </w:rPr>
        <w:t>); BRAMBILLA, Henry Vinicius Ribeiro</w:t>
      </w:r>
      <w:r>
        <w:rPr>
          <w:rFonts w:eastAsia="Calibri"/>
          <w:sz w:val="20"/>
          <w:szCs w:val="20"/>
          <w:vertAlign w:val="superscript"/>
          <w:lang w:eastAsia="zh-CN"/>
        </w:rPr>
        <w:t>4</w:t>
      </w:r>
      <w:r>
        <w:rPr>
          <w:rFonts w:eastAsia="Calibri"/>
          <w:sz w:val="20"/>
          <w:szCs w:val="20"/>
          <w:lang w:eastAsia="zh-CN"/>
        </w:rPr>
        <w:t xml:space="preserve"> (</w:t>
      </w:r>
      <w:r>
        <w:rPr>
          <w:rFonts w:eastAsia="Calibri"/>
          <w:color w:val="000000"/>
          <w:sz w:val="20"/>
          <w:szCs w:val="20"/>
          <w:lang w:eastAsia="zh-CN"/>
        </w:rPr>
        <w:t xml:space="preserve">henry.brambilla@outlook.com); </w:t>
      </w:r>
      <w:r>
        <w:rPr>
          <w:rFonts w:eastAsia="Calibri"/>
          <w:sz w:val="20"/>
          <w:szCs w:val="20"/>
          <w:lang w:eastAsia="zh-CN"/>
        </w:rPr>
        <w:t>SILVA, Ricardo Leonel</w:t>
      </w:r>
      <w:r>
        <w:rPr>
          <w:rFonts w:eastAsia="Calibri"/>
          <w:sz w:val="20"/>
          <w:szCs w:val="20"/>
          <w:vertAlign w:val="superscript"/>
          <w:lang w:eastAsia="zh-CN"/>
        </w:rPr>
        <w:t>5</w:t>
      </w:r>
      <w:r>
        <w:rPr>
          <w:rFonts w:eastAsia="Calibri"/>
          <w:sz w:val="20"/>
          <w:szCs w:val="20"/>
          <w:lang w:eastAsia="zh-CN"/>
        </w:rPr>
        <w:t xml:space="preserve"> (ricardoleonelagro@gmail.com); ZOZ, Tiago</w:t>
      </w:r>
      <w:r>
        <w:rPr>
          <w:rFonts w:eastAsia="Calibri"/>
          <w:sz w:val="20"/>
          <w:szCs w:val="20"/>
          <w:vertAlign w:val="superscript"/>
          <w:lang w:eastAsia="zh-CN"/>
        </w:rPr>
        <w:t>6</w:t>
      </w:r>
      <w:r>
        <w:rPr>
          <w:rFonts w:eastAsia="Calibri"/>
          <w:sz w:val="20"/>
          <w:szCs w:val="20"/>
          <w:lang w:eastAsia="zh-CN"/>
        </w:rPr>
        <w:t xml:space="preserve">  (</w:t>
      </w:r>
      <w:r>
        <w:rPr>
          <w:rStyle w:val="LinkdaInternet"/>
          <w:rFonts w:eastAsia="Calibri"/>
          <w:color w:val="000000"/>
          <w:sz w:val="20"/>
          <w:szCs w:val="20"/>
          <w:u w:val="none"/>
          <w:lang w:eastAsia="zh-CN"/>
        </w:rPr>
        <w:t>Zoz@uems.br</w:t>
      </w:r>
      <w:r>
        <w:rPr>
          <w:rFonts w:eastAsia="Calibri"/>
          <w:sz w:val="20"/>
          <w:szCs w:val="20"/>
          <w:lang w:eastAsia="zh-CN"/>
        </w:rPr>
        <w:t xml:space="preserve">); </w:t>
      </w:r>
    </w:p>
    <w:p w:rsidR="00F91AE4" w:rsidRDefault="00F91AE4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</w:p>
    <w:p w:rsidR="00F91AE4" w:rsidRDefault="009E1C94">
      <w:pPr>
        <w:pStyle w:val="Corpodetexto"/>
        <w:jc w:val="both"/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Discente do curso de Agronomia da UEMS – Cassilândia; </w:t>
      </w:r>
    </w:p>
    <w:p w:rsidR="00F91AE4" w:rsidRDefault="009E1C94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>Discente do curso de Agronomia da UEMS – Cassilândia;</w:t>
      </w:r>
    </w:p>
    <w:p w:rsidR="00F91AE4" w:rsidRDefault="009E1C94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>Discente do curso de Agronomia da UEMS – Cassilândia;</w:t>
      </w:r>
    </w:p>
    <w:p w:rsidR="00F91AE4" w:rsidRDefault="009E1C94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4</w:t>
      </w:r>
      <w:r>
        <w:rPr>
          <w:rFonts w:eastAsia="Calibri"/>
          <w:sz w:val="20"/>
          <w:szCs w:val="20"/>
          <w:lang w:eastAsia="zh-CN"/>
        </w:rPr>
        <w:t>Discente do curso de Agronomia da UEMS – Cassilândia;</w:t>
      </w:r>
    </w:p>
    <w:p w:rsidR="00F91AE4" w:rsidRDefault="009E1C94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5</w:t>
      </w:r>
      <w:r>
        <w:rPr>
          <w:rFonts w:eastAsia="Calibri"/>
          <w:sz w:val="20"/>
          <w:szCs w:val="20"/>
          <w:lang w:eastAsia="zh-CN"/>
        </w:rPr>
        <w:t>Discente do curso de Agronomia da U</w:t>
      </w:r>
      <w:r>
        <w:rPr>
          <w:rFonts w:eastAsia="Calibri"/>
          <w:sz w:val="20"/>
          <w:szCs w:val="20"/>
          <w:lang w:eastAsia="zh-CN"/>
        </w:rPr>
        <w:t>EMS – Cassilândia;</w:t>
      </w:r>
    </w:p>
    <w:p w:rsidR="00F91AE4" w:rsidRDefault="009E1C94">
      <w:pPr>
        <w:pStyle w:val="Corpodetexto"/>
        <w:jc w:val="both"/>
      </w:pPr>
      <w:r>
        <w:rPr>
          <w:rFonts w:eastAsia="Calibri"/>
          <w:sz w:val="20"/>
          <w:szCs w:val="20"/>
          <w:vertAlign w:val="superscript"/>
          <w:lang w:eastAsia="zh-CN"/>
        </w:rPr>
        <w:t>6</w:t>
      </w:r>
      <w:r>
        <w:rPr>
          <w:rFonts w:eastAsia="Calibri"/>
          <w:sz w:val="20"/>
          <w:szCs w:val="20"/>
          <w:lang w:eastAsia="zh-CN"/>
        </w:rPr>
        <w:t>Docente do curso de Tecnologia em Gestão Ambiental da UEMS – Mundo Novo.</w:t>
      </w:r>
    </w:p>
    <w:p w:rsidR="00F91AE4" w:rsidRDefault="009E1C94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Os testes de vigor são muito utilizados para reconhecer os contrastes relacionados com o desempenho de lotes de sementes, selecionando lotes com alta taxa </w:t>
      </w:r>
      <w:r>
        <w:rPr>
          <w:sz w:val="24"/>
          <w:szCs w:val="24"/>
          <w:lang w:eastAsia="pt-BR"/>
        </w:rPr>
        <w:t>de germinação, emergência, crescimento rápido e uniformidade, resultando em maiores produtividades. Objetiva-se com este projeto propor a metodologia de Índice de Membranas Degradadas (IMD) como um teste de vigor para classificar lotes de sementes de algod</w:t>
      </w:r>
      <w:r>
        <w:rPr>
          <w:sz w:val="24"/>
          <w:szCs w:val="24"/>
          <w:lang w:eastAsia="pt-BR"/>
        </w:rPr>
        <w:t xml:space="preserve">ão quanto ao seu vigor. Este projeto foi composto por dois experimentos, o Experimento 1 foi conduzido para determinar o tempo que as sementes de algodão deveriam permanecer em Banho-maria, até que todas as membranas fossem degradadas. As sementes de cada </w:t>
      </w:r>
      <w:r>
        <w:rPr>
          <w:sz w:val="24"/>
          <w:szCs w:val="24"/>
          <w:lang w:eastAsia="pt-BR"/>
        </w:rPr>
        <w:t>cultivar de algodão foram submetidas ao teste de condutividade elétrica. Para isto, foram retiradas 24 amostras de 10 sementes de cada cultivar e colocadas em copos plásticos de 180 mL e pesados em balança com precisão. Foram adicionados 75 mL de água deio</w:t>
      </w:r>
      <w:r>
        <w:rPr>
          <w:sz w:val="24"/>
          <w:szCs w:val="24"/>
          <w:lang w:eastAsia="pt-BR"/>
        </w:rPr>
        <w:t>nizada em cada copo. Os copos foram levados a BOD e mantidos a temperatura de 25ºC por 24 horas. Após 24 horas foi mensurada a condutividade elétrica da solução com um condutivimetro de bancada. O Experimento 2 foi conduzido com o objetivo de comparar a me</w:t>
      </w:r>
      <w:r>
        <w:rPr>
          <w:sz w:val="24"/>
          <w:szCs w:val="24"/>
          <w:lang w:eastAsia="pt-BR"/>
        </w:rPr>
        <w:t>todologia proposta com este projeto com as metodologias convencionalmente utilizadas como teste de vigor na cultura do algodão. O delineamento experimental adotado foi inteiramente ao acaso com quatro repetições, disposto em esquema fatorial 4x5. O primeir</w:t>
      </w:r>
      <w:r>
        <w:rPr>
          <w:sz w:val="24"/>
          <w:szCs w:val="24"/>
          <w:lang w:eastAsia="pt-BR"/>
        </w:rPr>
        <w:t>o fator foi composto por quatro cultivares de algodão e o segundo fator foi composto por quatro períodos em que as sementes foram submetidas ao envelhecimento acelerado e um tratamento controle, em que as sementes não foram submetidas ao envelhecimento ace</w:t>
      </w:r>
      <w:r>
        <w:rPr>
          <w:sz w:val="24"/>
          <w:szCs w:val="24"/>
          <w:lang w:eastAsia="pt-BR"/>
        </w:rPr>
        <w:t>lerado. Os dados foram submetidos à análise de variância e a significância dos quadrados médios obtidos foram testadas pelo teste F ao nível de 5% de probabilidade. As médias referentes aos tempos de envelhecimento acelerado e aos cultivares de algodão for</w:t>
      </w:r>
      <w:r>
        <w:rPr>
          <w:sz w:val="24"/>
          <w:szCs w:val="24"/>
          <w:lang w:eastAsia="pt-BR"/>
        </w:rPr>
        <w:t>am comparados pelo teste Tukey ao nível de 5% de probabilidade. Foram estimados os coeficientes de correlação de Pearson entre o índice de membranas degradadas (IMD) e os demais testes de vigor. A significância dos coeficientes de correlação de Pearson foi</w:t>
      </w:r>
      <w:r>
        <w:rPr>
          <w:sz w:val="24"/>
          <w:szCs w:val="24"/>
          <w:lang w:eastAsia="pt-BR"/>
        </w:rPr>
        <w:t xml:space="preserve"> testada pelo teste t de Student ao nível de 5% de probabilidade. O teste de integridade de membranas foi sensível para determinar o vigor das sementes de algodão. Foi constatada correlação altamente significativa entre a emergência de plântulas e o índice</w:t>
      </w:r>
      <w:r>
        <w:rPr>
          <w:sz w:val="24"/>
          <w:szCs w:val="24"/>
          <w:lang w:eastAsia="pt-BR"/>
        </w:rPr>
        <w:t xml:space="preserve"> de velocidade de emergência com a porcentagem de integridade de membranas. O teste de porcentagem de integridade de membranas de sementes é um método viável, eficiente e de baixo custo, capaz de classificar lotes de sementes de algodão com diferentes níve</w:t>
      </w:r>
      <w:r>
        <w:rPr>
          <w:sz w:val="24"/>
          <w:szCs w:val="24"/>
          <w:lang w:eastAsia="pt-BR"/>
        </w:rPr>
        <w:t>is de vigor.</w:t>
      </w:r>
    </w:p>
    <w:p w:rsidR="00F91AE4" w:rsidRDefault="00F91AE4">
      <w:pPr>
        <w:spacing w:line="276" w:lineRule="auto"/>
        <w:jc w:val="both"/>
        <w:rPr>
          <w:sz w:val="24"/>
          <w:szCs w:val="24"/>
          <w:lang w:eastAsia="pt-BR"/>
        </w:rPr>
      </w:pPr>
    </w:p>
    <w:p w:rsidR="00F91AE4" w:rsidRDefault="009E1C94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proofErr w:type="spellStart"/>
      <w:r>
        <w:rPr>
          <w:rStyle w:val="Ttulo20"/>
          <w:rFonts w:ascii="Times New Roman" w:hAnsi="Times New Roman"/>
          <w:b w:val="0"/>
          <w:bCs w:val="0"/>
          <w:i/>
          <w:iCs/>
          <w:caps/>
          <w:color w:val="000000"/>
          <w:sz w:val="24"/>
          <w:szCs w:val="24"/>
          <w:lang w:eastAsia="pt-BR"/>
        </w:rPr>
        <w:t>G</w:t>
      </w:r>
      <w:r>
        <w:rPr>
          <w:rStyle w:val="Ttulo20"/>
          <w:rFonts w:ascii="Times New Roman" w:hAnsi="Times New Roman"/>
          <w:b w:val="0"/>
          <w:bCs w:val="0"/>
          <w:i/>
          <w:iCs/>
          <w:color w:val="000000"/>
          <w:sz w:val="24"/>
          <w:szCs w:val="24"/>
          <w:lang w:eastAsia="pt-BR"/>
        </w:rPr>
        <w:t>ossypium</w:t>
      </w:r>
      <w:proofErr w:type="spellEnd"/>
      <w:r>
        <w:rPr>
          <w:rStyle w:val="Ttulo20"/>
          <w:rFonts w:ascii="Times New Roman" w:hAnsi="Times New Roman"/>
          <w:b w:val="0"/>
          <w:bCs w:val="0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Style w:val="Ttulo20"/>
          <w:rFonts w:ascii="Times New Roman" w:hAnsi="Times New Roman"/>
          <w:b w:val="0"/>
          <w:bCs w:val="0"/>
          <w:i/>
          <w:iCs/>
          <w:color w:val="000000"/>
          <w:sz w:val="24"/>
          <w:szCs w:val="24"/>
          <w:lang w:eastAsia="pt-BR"/>
        </w:rPr>
        <w:t>hirsutum</w:t>
      </w:r>
      <w:proofErr w:type="spellEnd"/>
      <w:r>
        <w:rPr>
          <w:rStyle w:val="Ttulo20"/>
          <w:rFonts w:ascii="Times New Roman" w:hAnsi="Times New Roman"/>
          <w:b w:val="0"/>
          <w:bCs w:val="0"/>
          <w:caps/>
          <w:color w:val="000000"/>
          <w:sz w:val="24"/>
          <w:szCs w:val="24"/>
          <w:lang w:eastAsia="pt-BR"/>
        </w:rPr>
        <w:t xml:space="preserve"> L., </w:t>
      </w:r>
      <w:proofErr w:type="gramStart"/>
      <w:r>
        <w:rPr>
          <w:rStyle w:val="Ttulo20"/>
          <w:rFonts w:ascii="Times New Roman" w:hAnsi="Times New Roman"/>
          <w:b w:val="0"/>
          <w:bCs w:val="0"/>
          <w:color w:val="000000"/>
          <w:sz w:val="24"/>
          <w:szCs w:val="24"/>
          <w:lang w:eastAsia="pt-BR"/>
        </w:rPr>
        <w:t>condutividade</w:t>
      </w:r>
      <w:proofErr w:type="gramEnd"/>
      <w:r>
        <w:rPr>
          <w:rStyle w:val="Ttulo20"/>
          <w:rFonts w:ascii="Times New Roman" w:hAnsi="Times New Roman"/>
          <w:b w:val="0"/>
          <w:bCs w:val="0"/>
          <w:color w:val="000000"/>
          <w:sz w:val="24"/>
          <w:szCs w:val="24"/>
          <w:lang w:eastAsia="pt-BR"/>
        </w:rPr>
        <w:t xml:space="preserve"> elétrica, liberação de íons.</w:t>
      </w:r>
    </w:p>
    <w:p w:rsidR="00F91AE4" w:rsidRPr="00B827B1" w:rsidRDefault="009E1C94" w:rsidP="00B827B1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Ao CNPq pela concessão de bolsa de iniciação científica ao primeiro autor</w:t>
      </w:r>
      <w:bookmarkStart w:id="0" w:name="_GoBack"/>
      <w:bookmarkEnd w:id="0"/>
    </w:p>
    <w:sectPr w:rsidR="00F91AE4" w:rsidRPr="00B827B1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94" w:rsidRDefault="009E1C94">
      <w:r>
        <w:separator/>
      </w:r>
    </w:p>
  </w:endnote>
  <w:endnote w:type="continuationSeparator" w:id="0">
    <w:p w:rsidR="009E1C94" w:rsidRDefault="009E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E4" w:rsidRDefault="009E1C94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94" w:rsidRDefault="009E1C94">
      <w:r>
        <w:separator/>
      </w:r>
    </w:p>
  </w:footnote>
  <w:footnote w:type="continuationSeparator" w:id="0">
    <w:p w:rsidR="009E1C94" w:rsidRDefault="009E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E4" w:rsidRDefault="009E1C94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>
          <wp:extent cx="7816215" cy="986155"/>
          <wp:effectExtent l="0" t="0" r="0" b="0"/>
          <wp:docPr id="1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215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A0A48"/>
    <w:multiLevelType w:val="multilevel"/>
    <w:tmpl w:val="38F20D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1AE4"/>
    <w:rsid w:val="009E1C94"/>
    <w:rsid w:val="00B827B1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296D"/>
  <w15:docId w15:val="{33A885A2-99C9-4433-AC33-E4BFBED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Ttulo20">
    <w:name w:val="Título #2_"/>
    <w:qFormat/>
    <w:rPr>
      <w:rFonts w:ascii="Arial" w:hAnsi="Arial" w:cs="Arial"/>
      <w:b/>
      <w:bCs/>
      <w:sz w:val="23"/>
      <w:szCs w:val="23"/>
      <w:u w:val="none"/>
      <w:lang w:val="pt-BR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4883-2EC0-4D74-A06A-2031ADBA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588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User</cp:lastModifiedBy>
  <cp:revision>29</cp:revision>
  <dcterms:created xsi:type="dcterms:W3CDTF">2021-08-13T18:50:00Z</dcterms:created>
  <dcterms:modified xsi:type="dcterms:W3CDTF">2021-09-23T11:26:00Z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2021-07-14T00:00:00Z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2021-08-12T00:00:00Z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