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</w:r>
    </w:p>
    <w:p>
      <w:pPr>
        <w:pStyle w:val="Normal"/>
        <w:tabs>
          <w:tab w:val="left" w:pos="2565" w:leader="none"/>
          <w:tab w:val="right" w:pos="8789" w:leader="none"/>
        </w:tabs>
        <w:spacing w:lineRule="auto" w:line="360"/>
        <w:jc w:val="center"/>
        <w:rPr>
          <w:rFonts w:ascii="Times New Roman" w:hAnsi="Times New Roman" w:cs="Times New Roman"/>
          <w:b/>
          <w:b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sz w:val="24"/>
          <w:szCs w:val="24"/>
          <w:lang w:val="en-US"/>
        </w:rPr>
        <w:t xml:space="preserve">AVALIAÇÃO DO POTENCIAL DE RISCO NA BIOACUMULAÇÃO DE METAIS EM </w:t>
      </w:r>
      <w:r>
        <w:rPr>
          <w:rFonts w:cs="Times New Roman" w:ascii="Times New Roman" w:hAnsi="Times New Roman"/>
          <w:b/>
          <w:i/>
          <w:sz w:val="24"/>
          <w:szCs w:val="24"/>
          <w:lang w:val="en-US"/>
        </w:rPr>
        <w:t>Hoplias aimara</w:t>
      </w:r>
      <w:r>
        <w:rPr>
          <w:rFonts w:cs="Times New Roman" w:ascii="Times New Roman" w:hAnsi="Times New Roman"/>
          <w:b/>
          <w:sz w:val="24"/>
          <w:szCs w:val="24"/>
          <w:lang w:val="en-US"/>
        </w:rPr>
        <w:t xml:space="preserve"> NO ALTO RIO ARAGUARI- BACIA AMAZÔNICA- BRASIL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VIANA, Lucilene Finoto</w:t>
      </w:r>
      <w:r>
        <w:rPr>
          <w:rFonts w:cs="Times New Roman" w:ascii="Times New Roman" w:hAnsi="Times New Roman"/>
          <w:b/>
          <w:sz w:val="24"/>
          <w:szCs w:val="24"/>
          <w:vertAlign w:val="superscript"/>
        </w:rPr>
        <w:t>1</w:t>
      </w: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(lucilenefinoto@homail.com);</w:t>
      </w:r>
      <w:r>
        <w:rPr>
          <w:rFonts w:cs="Times New Roman" w:ascii="Times New Roman" w:hAnsi="Times New Roman"/>
          <w:b/>
          <w:sz w:val="24"/>
          <w:szCs w:val="24"/>
        </w:rPr>
        <w:t xml:space="preserve"> CARDOSO, Claudia Andrea Lima</w:t>
      </w:r>
      <w:r>
        <w:rPr>
          <w:rFonts w:cs="Times New Roman" w:ascii="Times New Roman" w:hAnsi="Times New Roman"/>
          <w:b/>
          <w:sz w:val="24"/>
          <w:szCs w:val="24"/>
          <w:vertAlign w:val="superscript"/>
        </w:rPr>
        <w:t>2</w:t>
      </w: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(</w:t>
      </w:r>
      <w:r>
        <w:rPr>
          <w:rFonts w:cs="Times New Roman" w:ascii="Times New Roman" w:hAnsi="Times New Roman"/>
          <w:color w:val="323130"/>
          <w:sz w:val="24"/>
          <w:szCs w:val="24"/>
          <w:shd w:fill="FFFFFF" w:val="clear"/>
        </w:rPr>
        <w:t>claudiacardosouems1@gmail.com</w:t>
      </w:r>
      <w:r>
        <w:rPr>
          <w:rFonts w:cs="Times New Roman" w:ascii="Times New Roman" w:hAnsi="Times New Roman"/>
          <w:sz w:val="24"/>
          <w:szCs w:val="24"/>
        </w:rPr>
        <w:t>);</w:t>
      </w:r>
      <w:r>
        <w:rPr>
          <w:rFonts w:cs="Times New Roman" w:ascii="Times New Roman" w:hAnsi="Times New Roman"/>
          <w:b/>
          <w:sz w:val="24"/>
          <w:szCs w:val="24"/>
        </w:rPr>
        <w:t xml:space="preserve"> FLORENTINO, Alexandro Cezar</w:t>
      </w:r>
      <w:r>
        <w:rPr>
          <w:rFonts w:cs="Times New Roman" w:ascii="Times New Roman" w:hAnsi="Times New Roman"/>
          <w:b/>
          <w:sz w:val="24"/>
          <w:szCs w:val="24"/>
          <w:vertAlign w:val="superscript"/>
        </w:rPr>
        <w:t>3</w:t>
      </w: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(alexandro</w:t>
      </w:r>
      <w:r>
        <w:rPr>
          <w:rFonts w:cs="Times New Roman" w:ascii="Times New Roman" w:hAnsi="Times New Roman"/>
          <w:color w:val="323130"/>
          <w:sz w:val="24"/>
          <w:szCs w:val="24"/>
          <w:shd w:fill="FFFFFF" w:val="clear"/>
        </w:rPr>
        <w:t>cezar@gmail.com</w:t>
      </w:r>
      <w:r>
        <w:rPr>
          <w:rFonts w:cs="Times New Roman" w:ascii="Times New Roman" w:hAnsi="Times New Roman"/>
          <w:sz w:val="24"/>
          <w:szCs w:val="24"/>
        </w:rPr>
        <w:t>)</w:t>
      </w:r>
    </w:p>
    <w:p>
      <w:pPr>
        <w:pStyle w:val="Normal"/>
        <w:tabs>
          <w:tab w:val="left" w:pos="5595" w:leader="none"/>
        </w:tabs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  <w:vertAlign w:val="superscript"/>
        </w:rPr>
        <w:t>1</w:t>
      </w:r>
      <w:r>
        <w:rPr>
          <w:rFonts w:cs="Times New Roman" w:ascii="Times New Roman" w:hAnsi="Times New Roman"/>
          <w:sz w:val="20"/>
          <w:szCs w:val="20"/>
        </w:rPr>
        <w:t xml:space="preserve">Discente de Pós-doutorado em Biodiversidade Tropical (PPGBIO), </w:t>
      </w:r>
      <w:r>
        <w:rPr>
          <w:rFonts w:cs="Times New Roman" w:ascii="Times New Roman" w:hAnsi="Times New Roman"/>
          <w:color w:val="000000"/>
          <w:sz w:val="20"/>
          <w:szCs w:val="20"/>
        </w:rPr>
        <w:t>Universidade Federal do Amapá-AP</w:t>
      </w:r>
      <w:r>
        <w:rPr>
          <w:rFonts w:cs="Times New Roman" w:ascii="Times New Roman" w:hAnsi="Times New Roman"/>
          <w:sz w:val="20"/>
          <w:szCs w:val="20"/>
        </w:rPr>
        <w:t>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  <w:vertAlign w:val="superscript"/>
        </w:rPr>
        <w:t>2</w:t>
      </w:r>
      <w:r>
        <w:rPr>
          <w:rFonts w:cs="Times New Roman" w:ascii="Times New Roman" w:hAnsi="Times New Roman"/>
          <w:sz w:val="20"/>
          <w:szCs w:val="20"/>
        </w:rPr>
        <w:t>Docente do Programa de Pós-Graduação em Recursos Naturais-UEMS– Dourados-MS.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  <w:vertAlign w:val="superscript"/>
        </w:rPr>
        <w:t>3</w:t>
      </w:r>
      <w:r>
        <w:rPr>
          <w:rFonts w:cs="Times New Roman" w:ascii="Times New Roman" w:hAnsi="Times New Roman"/>
          <w:sz w:val="20"/>
          <w:szCs w:val="20"/>
        </w:rPr>
        <w:t>Docente do Programa de Pós-Graduação em Biodiversidade Tropical (PPGBIO), Universidade Federal do Amapá-AP.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spacing w:lineRule="auto" w:line="240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  <w:t>Os ecossistemas aquáticos estão sujeitos a diversos contaminantes</w:t>
      </w:r>
      <w:r>
        <w:rPr>
          <w:rFonts w:cs="Times New Roman" w:ascii="Times New Roman" w:hAnsi="Times New Roman"/>
          <w:sz w:val="24"/>
          <w:szCs w:val="24"/>
        </w:rPr>
        <w:t xml:space="preserve"> ambientais. Neste sentido, </w:t>
      </w:r>
      <w:r>
        <w:rPr>
          <w:rStyle w:val="Fontstyle01"/>
          <w:rFonts w:cs="Times New Roman" w:ascii="Times New Roman" w:hAnsi="Times New Roman"/>
          <w:b w:val="false"/>
          <w:sz w:val="24"/>
          <w:szCs w:val="24"/>
        </w:rPr>
        <w:t xml:space="preserve">objetivo deste estudo </w:t>
      </w:r>
      <w:r>
        <w:rPr>
          <w:rFonts w:cs="Times New Roman" w:ascii="Times New Roman" w:hAnsi="Times New Roman"/>
          <w:sz w:val="24"/>
          <w:szCs w:val="24"/>
        </w:rPr>
        <w:t>foi</w:t>
      </w:r>
      <w:r>
        <w:rPr>
          <w:rStyle w:val="Fontstyle01"/>
          <w:rFonts w:cs="Times New Roman" w:ascii="Times New Roman" w:hAnsi="Times New Roman"/>
          <w:b w:val="false"/>
          <w:sz w:val="24"/>
          <w:szCs w:val="24"/>
        </w:rPr>
        <w:t xml:space="preserve"> avaliar os riscos do consumo de peixes contento metais para a saúde humana no alto rio Araguari, nas proximidades de uma área de Unidade de Conservação na região do estado do Amapá, pertencendo a bacia Amazônica.</w:t>
      </w:r>
      <w:r>
        <w:rPr>
          <w:rFonts w:cs="Times New Roman" w:ascii="Times New Roman" w:hAnsi="Times New Roman"/>
          <w:sz w:val="24"/>
          <w:szCs w:val="24"/>
        </w:rPr>
        <w:t xml:space="preserve"> O estudo foi realizado na parte superior do rio Araguari, pertencendo a Unidade de Conservação, Floresta Nacional do Amapá – FLONA, Brasil. As amostragens foram realizadas entre outubro de 2018, em dois pontos de amostragens, visando investigar as condições ambientais na parte alta do Rio Araguari e por ser locais utilizados pelos pescadores da região para a captura de peixes para sua subsistência. Os peixes foram coletados com auxílio de rede de espera. 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Logo após a coleta, os peixes foram </w:t>
      </w:r>
      <w:r>
        <w:rPr>
          <w:rFonts w:cs="Times New Roman" w:ascii="Times New Roman" w:hAnsi="Times New Roman"/>
          <w:bCs/>
          <w:color w:val="000000"/>
          <w:sz w:val="24"/>
          <w:szCs w:val="24"/>
        </w:rPr>
        <w:t xml:space="preserve">imersos em água gelada </w:t>
      </w:r>
      <w:r>
        <w:rPr>
          <w:rFonts w:cs="Times New Roman" w:ascii="Times New Roman" w:hAnsi="Times New Roman"/>
          <w:i/>
          <w:color w:val="000000"/>
          <w:sz w:val="24"/>
          <w:szCs w:val="24"/>
        </w:rPr>
        <w:t>in situ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cs="Times New Roman" w:ascii="Times New Roman" w:hAnsi="Times New Roman"/>
          <w:bCs/>
          <w:color w:val="000000"/>
          <w:sz w:val="24"/>
          <w:szCs w:val="24"/>
        </w:rPr>
        <w:t>para reduzir a sua atividade, e posteriormente sacrificados. Para a análise de metais</w:t>
      </w:r>
      <w:r>
        <w:rPr>
          <w:rFonts w:cs="Times New Roman" w:ascii="Times New Roman" w:hAnsi="Times New Roman"/>
          <w:color w:val="000000"/>
          <w:sz w:val="24"/>
          <w:szCs w:val="24"/>
        </w:rPr>
        <w:t>, parte do tecido muscular foi separada, entre a nadadeira dorsal e o final do pedúnculo caudal</w:t>
      </w:r>
      <w:r>
        <w:rPr>
          <w:rFonts w:cs="Times New Roman" w:ascii="Times New Roman" w:hAnsi="Times New Roman"/>
          <w:sz w:val="24"/>
          <w:szCs w:val="24"/>
        </w:rPr>
        <w:t xml:space="preserve">. As amostras foram analisadas no Espectrofotômetro de Absorção Atômica (Shimadzu, modelo AA7000), com atomização em chama, para estimar a concentrações Cd, Pb, Cr, Ni, Fe, Mn, Cu e Zn no tecido muscular dos peixes. </w:t>
      </w:r>
      <w:r>
        <w:rPr>
          <w:rFonts w:cs="Times New Roman" w:ascii="Times New Roman" w:hAnsi="Times New Roman"/>
          <w:sz w:val="24"/>
          <w:szCs w:val="24"/>
          <w:lang w:eastAsia="en-US"/>
        </w:rPr>
        <w:t xml:space="preserve">A avaliação do quociente de risco foi calculada utilizando os valores de metais detectados nos tecidos dos peixes dividido pela referência Anvisa 2013. Se a avaliação de risco calculado apresentar valor inferior a 1, indica ser pouco provável, a ocorrência de efeitos adversos à saúde humana. No entanto, se for maior que 1 indica que há possibilidade de potenciais efeitos adversos à saúde humana, </w:t>
      </w:r>
      <w:r>
        <w:rPr>
          <w:rFonts w:cs="Times New Roman" w:ascii="Times New Roman" w:hAnsi="Times New Roman"/>
          <w:sz w:val="24"/>
          <w:szCs w:val="24"/>
        </w:rPr>
        <w:t xml:space="preserve">não carcinogênicos. Em relação a avaliação de riscos, foram analisados 18 indivíduos de </w:t>
      </w:r>
      <w:r>
        <w:rPr>
          <w:rFonts w:cs="Times New Roman" w:ascii="Times New Roman" w:hAnsi="Times New Roman"/>
          <w:i/>
          <w:sz w:val="24"/>
          <w:szCs w:val="24"/>
        </w:rPr>
        <w:t>H. aimara</w:t>
      </w:r>
      <w:r>
        <w:rPr>
          <w:rFonts w:cs="Times New Roman" w:ascii="Times New Roman" w:hAnsi="Times New Roman"/>
          <w:sz w:val="24"/>
          <w:szCs w:val="24"/>
        </w:rPr>
        <w:t xml:space="preserve"> e para todos os exemplares investigados apresentaram valores acima de 1 para Cd e Pb, indicando possíveis riscos do consumo para à saúde humana. Para o Cr, Ni, Fe, Mn, Cu e Zn apresentou valores menor do que 1 na avaliação de riscos indicando que não há riscos no consumo para à saúde humana.  Em resumo, no alto rio Araguari os</w:t>
      </w:r>
      <w:r>
        <w:rPr>
          <w:rFonts w:cs="Times New Roman" w:ascii="Times New Roman" w:hAnsi="Times New Roman"/>
          <w:bCs/>
          <w:sz w:val="24"/>
          <w:szCs w:val="24"/>
          <w:lang w:val="en-US"/>
        </w:rPr>
        <w:t xml:space="preserve"> valores de Cd e Pb presente no tecido dos peixes indicam possíveis riscos à saúde humana no consumo constante destes peixes. Neste sentido, há necessidade de investigação mais detalhada nesta área de estudo.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Times New Roman" w:hAnsi="Times New Roman"/>
          <w:b/>
          <w:sz w:val="24"/>
          <w:szCs w:val="24"/>
        </w:rPr>
        <w:t>Palavras-chave</w:t>
      </w:r>
      <w:r>
        <w:rPr>
          <w:rFonts w:cs="Times New Roman" w:ascii="Times New Roman" w:hAnsi="Times New Roman"/>
          <w:sz w:val="24"/>
          <w:szCs w:val="24"/>
        </w:rPr>
        <w:t>: Contaminantes, ambientes aquáticos, peixes.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pt-BR"/>
        </w:rPr>
        <w:t>Agradecimentos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pt-BR"/>
        </w:rPr>
        <w:t xml:space="preserve">: A FAPEAP (Fundação de Amparo à pesquisa do Amapá), processo 250.2303.002/2018, </w:t>
      </w:r>
      <w:bookmarkStart w:id="0" w:name="_GoBack"/>
      <w:bookmarkEnd w:id="0"/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pt-BR"/>
        </w:rPr>
        <w:t xml:space="preserve">ao </w:t>
      </w:r>
      <w:r>
        <w:rPr>
          <w:rFonts w:eastAsia="Times New Roman" w:cs="Times New Roman" w:ascii="Times New Roman" w:hAnsi="Times New Roman"/>
          <w:bCs/>
          <w:color w:val="000000"/>
          <w:sz w:val="24"/>
          <w:szCs w:val="24"/>
          <w:lang w:eastAsia="pt-BR"/>
        </w:rPr>
        <w:t>auxílio financeiro do projeto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pt-BR"/>
        </w:rPr>
        <w:t xml:space="preserve"> e a CAPES (</w:t>
      </w:r>
      <w:r>
        <w:rPr>
          <w:rFonts w:cs="Times New Roman" w:ascii="Times New Roman" w:hAnsi="Times New Roman"/>
          <w:sz w:val="24"/>
          <w:szCs w:val="24"/>
          <w:shd w:fill="FFFFFF" w:val="clear"/>
        </w:rPr>
        <w:t>Coordenação de Aperfeiçoamento de Pessoal de Nível Superior)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pt-BR"/>
        </w:rPr>
        <w:t xml:space="preserve"> </w:t>
      </w:r>
      <w:r>
        <w:rPr>
          <w:rFonts w:eastAsia="Times New Roman" w:cs="Times New Roman" w:ascii="Times New Roman" w:hAnsi="Times New Roman"/>
          <w:bCs/>
          <w:color w:val="000000"/>
          <w:sz w:val="24"/>
          <w:szCs w:val="24"/>
          <w:lang w:eastAsia="pt-BR"/>
        </w:rPr>
        <w:t>pela concessão de bolsa de pós-doutorado ao primeiro autor.</w:t>
      </w:r>
    </w:p>
    <w:p>
      <w:pPr>
        <w:pStyle w:val="Normal"/>
        <w:spacing w:lineRule="auto" w:line="240" w:before="0" w:after="0"/>
        <w:jc w:val="both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0" w:top="851" w:footer="0" w:bottom="851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Bold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ind w:left="-1134" w:hanging="0"/>
      <w:jc w:val="both"/>
      <w:rPr/>
    </w:pPr>
    <w:r>
      <w:rPr/>
      <mc:AlternateContent>
        <mc:Choice Requires="wps">
          <w:drawing>
            <wp:inline distT="0" distB="0" distL="0" distR="0">
              <wp:extent cx="7563485" cy="1477010"/>
              <wp:effectExtent l="0" t="0" r="0" b="0"/>
              <wp:docPr id="1" name="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 descr="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47636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>
          <w:pict>
            <v:rect id="shape_0" stroked="f" style="position:absolute;margin-left:0pt;margin-top:-116.3pt;width:595.45pt;height:116.2pt;mso-position-vertical:top">
              <v:imagedata r:id="rId1" o:detectmouseclick="t"/>
              <w10:wrap type="none"/>
              <v:stroke color="#3465a4" joinstyle="round" endcap="flat"/>
            </v:rect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100"/>
  <w:embedSystemFonts/>
  <w:defaultTabStop w:val="708"/>
  <w:autoHyphenation w:val="false"/>
  <w:compat>
    <w:compatSetting w:name="compatibilityMode" w:uri="http://schemas.microsoft.com/office/word" w:val="1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>
      <w:pPr/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sz w:val="22"/>
      <w:szCs w:val="22"/>
      <w:lang w:eastAsia="zh-CN" w:val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Fontepargpadro4" w:customStyle="1">
    <w:name w:val="Fonte parág. padrão4"/>
    <w:qFormat/>
    <w:rPr/>
  </w:style>
  <w:style w:type="character" w:styleId="Fontepargpadro3" w:customStyle="1">
    <w:name w:val="Fonte parág. padrão3"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/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Fontepargpadro2" w:customStyle="1">
    <w:name w:val="Fonte parág. padrão2"/>
    <w:qFormat/>
    <w:rPr/>
  </w:style>
  <w:style w:type="character" w:styleId="Fontepargpadro1" w:customStyle="1">
    <w:name w:val="Fonte parág. padrão1"/>
    <w:qFormat/>
    <w:rPr/>
  </w:style>
  <w:style w:type="character" w:styleId="Fontepargpadro5" w:customStyle="1">
    <w:name w:val="Fonte parág. padrão5"/>
    <w:qFormat/>
    <w:rPr/>
  </w:style>
  <w:style w:type="character" w:styleId="BalloonTextChar" w:customStyle="1">
    <w:name w:val="Balloon Text Char"/>
    <w:qFormat/>
    <w:rPr>
      <w:rFonts w:ascii="Tahoma" w:hAnsi="Tahoma" w:cs="Tahoma"/>
      <w:sz w:val="16"/>
      <w:szCs w:val="16"/>
    </w:rPr>
  </w:style>
  <w:style w:type="character" w:styleId="HeaderChar" w:customStyle="1">
    <w:name w:val="Header Char"/>
    <w:basedOn w:val="Fontepargpadro5"/>
    <w:qFormat/>
    <w:rPr/>
  </w:style>
  <w:style w:type="character" w:styleId="FooterChar" w:customStyle="1">
    <w:name w:val="Footer Char"/>
    <w:basedOn w:val="Fontepargpadro5"/>
    <w:qFormat/>
    <w:rPr/>
  </w:style>
  <w:style w:type="character" w:styleId="Strong">
    <w:name w:val="Strong"/>
    <w:qFormat/>
    <w:rPr>
      <w:b/>
      <w:bCs/>
    </w:rPr>
  </w:style>
  <w:style w:type="character" w:styleId="Legendadatabela2" w:customStyle="1">
    <w:name w:val="Legenda da tabela (2)_"/>
    <w:qFormat/>
    <w:rPr>
      <w:rFonts w:ascii="Arial" w:hAnsi="Arial" w:cs="Arial"/>
      <w:sz w:val="23"/>
      <w:szCs w:val="23"/>
      <w:shd w:fill="FFFFFF" w:val="clear"/>
    </w:rPr>
  </w:style>
  <w:style w:type="character" w:styleId="LinkdaInternet">
    <w:name w:val="Link da Internet"/>
    <w:rPr>
      <w:color w:val="0000FF"/>
      <w:u w:val="single"/>
    </w:rPr>
  </w:style>
  <w:style w:type="character" w:styleId="Smbolosdenumerao" w:customStyle="1">
    <w:name w:val="Símbolos de numeração"/>
    <w:qFormat/>
    <w:rPr/>
  </w:style>
  <w:style w:type="character" w:styleId="Fontstyle01" w:customStyle="1">
    <w:name w:val="fontstyle01"/>
    <w:qFormat/>
    <w:rsid w:val="00415c49"/>
    <w:rPr>
      <w:rFonts w:ascii="Bold" w:hAnsi="Bold"/>
      <w:b/>
      <w:color w:val="000000"/>
      <w:sz w:val="28"/>
    </w:rPr>
  </w:style>
  <w:style w:type="paragraph" w:styleId="Ttulo">
    <w:name w:val="Título"/>
    <w:basedOn w:val="Normal"/>
    <w:next w:val="Corpodetexto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etexto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Mangal"/>
    </w:rPr>
  </w:style>
  <w:style w:type="paragraph" w:styleId="Ttulo5" w:customStyle="1">
    <w:name w:val="Título5"/>
    <w:basedOn w:val="Normal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Ttulo4" w:customStyle="1">
    <w:name w:val="Título4"/>
    <w:basedOn w:val="Normal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tulo3" w:customStyle="1">
    <w:name w:val="Título3"/>
    <w:basedOn w:val="Normal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tulo2" w:customStyle="1">
    <w:name w:val="Título2"/>
    <w:basedOn w:val="Normal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tulo1" w:customStyle="1">
    <w:name w:val="Título1"/>
    <w:basedOn w:val="Normal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extodebalo1" w:customStyle="1">
    <w:name w:val="Texto de balão1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abealho">
    <w:name w:val="Header"/>
    <w:basedOn w:val="Normal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Application>LibreOffice/5.1.5.2$Windows_X86_64 LibreOffice_project/7a864d8825610a8c07cfc3bc01dd4fce6a9447e5</Application>
  <Pages>1</Pages>
  <Words>499</Words>
  <CharactersWithSpaces>2695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2019-07-15T23:09:00Z</dcterms:created>
  <dc:creator>Leticia Horbach Gonçalves</dc:creator>
  <dc:description/>
  <dc:language>pt-BR</dc:language>
  <cp:lastModifiedBy>Lucilene</cp:lastModifiedBy>
  <cp:lastPrinted>2017-07-04T12:14:00Z</cp:lastPrinted>
  <dcterms:modified xsi:type="dcterms:W3CDTF">2019-07-16T01:13:00Z</dcterms:modified>
  <cp:revision>7</cp:revision>
  <dc:subject/>
  <dc:title>A QUÍMICA DOS AROMAS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