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5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360" w:lineRule="auto"/>
        <w:contextualSpacing w:val="fals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PRODUÇÃO DE MUDAS DE PIMENTEIRA SUBMETIDAS AO FORNECIMENTO DE BIOESTIMULANTE VIA SEMENTE E FOLIAR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Marcelo Sousa Barbosa</w:t>
      </w:r>
      <w:r>
        <w:rPr>
          <w:rFonts w:ascii="Times New Roman" w:hAnsi="Times New Roman"/>
          <w:sz w:val="20"/>
          <w:szCs w:val="20"/>
          <w:vertAlign w:val="superscript"/>
        </w:rPr>
        <w:t>(1)</w:t>
      </w:r>
      <w:r>
        <w:rPr>
          <w:rFonts w:ascii="Times New Roman" w:hAnsi="Times New Roman"/>
          <w:sz w:val="20"/>
          <w:szCs w:val="20"/>
        </w:rPr>
        <w:t>; Mariana Santana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Guerra</w:t>
      </w:r>
      <w:r>
        <w:rPr>
          <w:rFonts w:ascii="Times New Roman" w:hAnsi="Times New Roman"/>
          <w:sz w:val="20"/>
          <w:szCs w:val="20"/>
          <w:vertAlign w:val="superscript"/>
        </w:rPr>
        <w:t>(2)</w:t>
      </w:r>
      <w:r>
        <w:rPr>
          <w:rFonts w:ascii="Times New Roman" w:hAnsi="Times New Roman"/>
          <w:sz w:val="20"/>
          <w:szCs w:val="20"/>
        </w:rPr>
        <w:t>; Barbara Barbosa Dias</w:t>
      </w:r>
      <w:r>
        <w:rPr>
          <w:rFonts w:ascii="Times New Roman" w:hAnsi="Times New Roman"/>
          <w:sz w:val="20"/>
          <w:szCs w:val="20"/>
          <w:vertAlign w:val="superscript"/>
        </w:rPr>
        <w:t>(1)</w:t>
      </w:r>
      <w:r>
        <w:rPr>
          <w:rFonts w:ascii="Times New Roman" w:hAnsi="Times New Roman"/>
          <w:sz w:val="20"/>
          <w:szCs w:val="20"/>
        </w:rPr>
        <w:t>; Flávio Ferreira da Silva Binotti</w:t>
      </w:r>
      <w:r>
        <w:rPr>
          <w:rFonts w:ascii="Times New Roman" w:hAnsi="Times New Roman"/>
          <w:sz w:val="20"/>
          <w:szCs w:val="20"/>
          <w:vertAlign w:val="superscript"/>
        </w:rPr>
        <w:t>(3)</w:t>
      </w:r>
      <w:r>
        <w:rPr>
          <w:rFonts w:ascii="Times New Roman" w:hAnsi="Times New Roman"/>
          <w:sz w:val="20"/>
          <w:szCs w:val="20"/>
        </w:rPr>
        <w:t>; Gustavo Haralampidou da Costa Vieira</w:t>
      </w:r>
      <w:r>
        <w:rPr>
          <w:rFonts w:ascii="Times New Roman" w:hAnsi="Times New Roman"/>
          <w:sz w:val="20"/>
          <w:szCs w:val="20"/>
          <w:vertAlign w:val="superscript"/>
        </w:rPr>
        <w:t>(3)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sz w:val="18"/>
        </w:rPr>
      </w:pPr>
      <w:r>
        <w:rPr>
          <w:rFonts w:ascii="Times New Roman" w:hAnsi="Times New Roman"/>
          <w:sz w:val="20"/>
          <w:szCs w:val="20"/>
          <w:vertAlign w:val="superscript"/>
        </w:rPr>
        <w:t>(</w:t>
      </w:r>
      <w:r>
        <w:rPr>
          <w:rFonts w:ascii="Times New Roman" w:hAnsi="Times New Roman"/>
          <w:sz w:val="20"/>
          <w:szCs w:val="20"/>
        </w:rPr>
        <w:t>¹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</w:rPr>
        <w:t xml:space="preserve">Mestrandos em Agronomia, UEMS, Unidade de Cassilândia, marcelo_sousad2@hotmail.com (CAPES), bbdias@yahoo.com.br; </w:t>
      </w:r>
      <w:r>
        <w:rPr>
          <w:rFonts w:ascii="Times New Roman" w:hAnsi="Times New Roman"/>
          <w:sz w:val="20"/>
          <w:szCs w:val="20"/>
          <w:vertAlign w:val="superscript"/>
        </w:rPr>
        <w:t>(2)</w:t>
      </w:r>
      <w:r>
        <w:rPr>
          <w:rFonts w:ascii="Times New Roman" w:hAnsi="Times New Roman"/>
          <w:sz w:val="20"/>
          <w:szCs w:val="20"/>
        </w:rPr>
        <w:t xml:space="preserve">Graduação, UEMS, Unidade de Cassilândia, sgmariana@hotmail.com (PIBIC/UMES), </w:t>
      </w:r>
      <w:r>
        <w:rPr>
          <w:rFonts w:ascii="Times New Roman" w:hAnsi="Times New Roman"/>
          <w:sz w:val="20"/>
          <w:szCs w:val="20"/>
          <w:vertAlign w:val="superscript"/>
        </w:rPr>
        <w:t>(</w:t>
      </w:r>
      <w:r>
        <w:rPr>
          <w:rFonts w:ascii="Times New Roman" w:hAnsi="Times New Roman"/>
          <w:sz w:val="20"/>
          <w:szCs w:val="20"/>
        </w:rPr>
        <w:t>³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</w:rPr>
        <w:t>Professor Adjunto, UEMS, Unidade de Cassilândia, gcv@uems.br, binotti@uems.br</w:t>
      </w:r>
      <w:r>
        <w:rPr>
          <w:sz w:val="18"/>
        </w:rPr>
        <w:t>;</w:t>
      </w:r>
    </w:p>
    <w:p>
      <w:pPr>
        <w:pStyle w:val="style0"/>
        <w:rPr>
          <w:rFonts w:ascii="Times New Roman" w:hAnsi="Times New Roman"/>
          <w:b/>
          <w:iCs/>
          <w:color w:val="231F20"/>
          <w:sz w:val="24"/>
          <w:szCs w:val="24"/>
        </w:rPr>
      </w:pPr>
      <w:r>
        <w:rPr>
          <w:rFonts w:ascii="Times New Roman" w:hAnsi="Times New Roman"/>
          <w:b/>
          <w:iCs/>
          <w:color w:val="231F20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RESUMO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b/>
          <w:iCs/>
          <w:color w:val="231F20"/>
          <w:sz w:val="24"/>
          <w:szCs w:val="24"/>
        </w:rPr>
      </w:pPr>
      <w:r>
        <w:rPr>
          <w:rFonts w:ascii="Times New Roman" w:hAnsi="Times New Roman"/>
          <w:b/>
          <w:iCs/>
          <w:color w:val="231F20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Pertencentes </w:t>
      </w:r>
      <w:r>
        <w:rPr>
          <w:rFonts w:ascii="Times New Roman" w:hAnsi="Times New Roman"/>
          <w:color w:val="000000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família das Solanaceae, as pimentas do gênero </w:t>
      </w:r>
      <w:r>
        <w:rPr>
          <w:rFonts w:ascii="Times New Roman" w:hAnsi="Times New Roman"/>
          <w:i/>
          <w:sz w:val="24"/>
          <w:szCs w:val="24"/>
        </w:rPr>
        <w:t>Capsicum</w:t>
      </w:r>
      <w:r>
        <w:rPr>
          <w:rFonts w:ascii="Times New Roman" w:hAnsi="Times New Roman"/>
          <w:sz w:val="24"/>
          <w:szCs w:val="24"/>
        </w:rPr>
        <w:t xml:space="preserve"> são amplamente cultivas em diversos continentes. </w:t>
      </w:r>
      <w:r>
        <w:rPr>
          <w:rFonts w:ascii="Times New Roman" w:hAnsi="Times New Roman"/>
          <w:color w:val="000000"/>
          <w:sz w:val="24"/>
          <w:szCs w:val="24"/>
        </w:rPr>
        <w:t xml:space="preserve">No Brasil, seu cultivo é proveniente da agricultura familiar em pequenas propriedades, além de grandes agroindústrias distribuídas em diversas regiões. O presente trabalho objetivou avaliar o crescimento de mudas de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C. frutensens</w:t>
      </w:r>
      <w:r>
        <w:rPr>
          <w:rFonts w:ascii="Times New Roman" w:hAnsi="Times New Roman"/>
          <w:color w:val="000000"/>
          <w:sz w:val="24"/>
          <w:szCs w:val="24"/>
        </w:rPr>
        <w:t xml:space="preserve"> submetidas à aplicação de bioestimulante via semente e foliar, além de períodos de coleta. </w:t>
      </w:r>
      <w:r>
        <w:rPr>
          <w:rFonts w:ascii="Times New Roman" w:hAnsi="Times New Roman"/>
          <w:sz w:val="24"/>
          <w:szCs w:val="24"/>
        </w:rPr>
        <w:t>O delineamento experimental utilizado foi inteiramente casualizado, em esquema fatorial 7x4 para as avaliações de altura de plântulas e diâmetro do colo e esquema fatorial 7X3 para as avalições de referente número de folhas, comprimento e largura foliar. Para fitomassa seca foi constituída de 7 tratamentos e 4 repetições. Os tratamentos aplicados foram constituídos pela aplicação de Bioestimulante composto de [90 mg L</w:t>
      </w:r>
      <w:r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 xml:space="preserve"> de citocinina (6-benzillamino-purina); 50 mg L</w:t>
      </w:r>
      <w:r>
        <w:rPr>
          <w:rFonts w:ascii="Times New Roman" w:hAnsi="Times New Roman"/>
          <w:sz w:val="24"/>
          <w:szCs w:val="24"/>
          <w:vertAlign w:val="superscript"/>
        </w:rPr>
        <w:t xml:space="preserve">-1 </w:t>
      </w:r>
      <w:r>
        <w:rPr>
          <w:rFonts w:ascii="Times New Roman" w:hAnsi="Times New Roman"/>
          <w:sz w:val="24"/>
          <w:szCs w:val="24"/>
        </w:rPr>
        <w:t>de giberelina (GA3); 50 mg L</w:t>
      </w:r>
      <w:r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 xml:space="preserve"> de auxina (ácido indolbultírico) e 2000 mg L</w:t>
      </w:r>
      <w:r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 xml:space="preserve"> de nutriente - nitrogênio (ureia) ], e pela aplicação foliar de nitrogênio na forma de ureia 45% na dose 2000 mg L</w:t>
      </w:r>
      <w:r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 xml:space="preserve">de água. Os tratamentos utilizados foram T1 – Testemunha; T2 – Controle (hidratação das sementes com água); T3 – Bioestimulante via semente; T4 – Bioestimulante via foliar aos 14 dias após a emergência (DAE); T5 - Bioestimulante via semente (1/2 da dose estipulada) + Bioestimulante via foliar aos 14 DAE (1/2 da dose estipulada); T6 – Bieostimulante via foliar aos 21 DAE; T7 – Nitrogênio via foliar aos 21 DAE.  Para o fator tratamentos aplicados as variáveis foram submetidas à análise de variância pelo teste F, e havendo efeito significativo, foi utilizado o teste de Tukey a 5% de probabilidade, sendo ainda verificado o ajuste dos dados para regressão polinomial para período de coleta. Os melhores tratamentos de bioestimulantes aplicada via semente e foliar, além de períodos de coletas no crescimento de mudas de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C. frutensens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foram </w:t>
      </w:r>
      <w:r>
        <w:rPr>
          <w:rFonts w:ascii="Times New Roman" w:hAnsi="Times New Roman"/>
          <w:sz w:val="24"/>
          <w:szCs w:val="24"/>
        </w:rPr>
        <w:t xml:space="preserve">T4 e T5 para as variáveis altura das mudas, diâmetro do colo, número de folhas, comprimento e largura da folha. No entanto para as variáveis fitomassa seca da parte aérea e da raiz, os tratamentos T5 e T6 foram os melhores se sobressaindo aos demais tratamentos.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Capsicum frutescens</w:t>
      </w:r>
      <w:r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regulador de crescimento, </w:t>
      </w:r>
      <w:r>
        <w:rPr>
          <w:rFonts w:ascii="Times New Roman" w:hAnsi="Times New Roman"/>
          <w:color w:val="000000"/>
          <w:sz w:val="24"/>
          <w:szCs w:val="24"/>
        </w:rPr>
        <w:t>condicionamento fisiológico.</w:t>
      </w:r>
    </w:p>
    <w:p>
      <w:pPr>
        <w:pStyle w:val="style0"/>
        <w:rPr/>
      </w:pPr>
      <w:r>
        <w:rPr/>
      </w:r>
    </w:p>
    <w:sectPr>
      <w:headerReference r:id="rId2" w:type="default"/>
      <w:type w:val="nextPage"/>
      <w:pgSz w:h="16838" w:w="11906"/>
      <w:pgMar w:bottom="1417" w:footer="0" w:gutter="0" w:header="708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both"/>
      <w:rPr/>
    </w:pPr>
    <w:r>
      <w:rPr/>
      <w:drawing>
        <wp:anchor allowOverlap="1" behindDoc="1" distB="0" distL="0" distR="0" distT="0" layoutInCell="1" locked="0" relativeHeight="0" simplePos="0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60310" cy="1866900"/>
          <wp:effectExtent b="0" l="0" r="0" t="0"/>
          <wp:wrapNone/>
          <wp:docPr descr="C:\Users\leticiagoncalves\Downloads\cabecalho-01.png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C:\Users\leticiagoncalves\Downloads\cabecalho-01.png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6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25"/>
      <w:jc w:val="both"/>
      <w:rPr/>
    </w:pPr>
    <w:r>
      <w:rPr/>
    </w:r>
  </w:p>
  <w:p>
    <w:pPr>
      <w:pStyle w:val="style25"/>
      <w:jc w:val="both"/>
      <w:rPr/>
    </w:pPr>
    <w:r>
      <w:rPr/>
    </w:r>
  </w:p>
  <w:p>
    <w:pPr>
      <w:pStyle w:val="style25"/>
      <w:jc w:val="both"/>
      <w:rPr/>
    </w:pPr>
    <w:r>
      <w:rPr/>
    </w:r>
  </w:p>
  <w:p>
    <w:pPr>
      <w:pStyle w:val="style25"/>
      <w:jc w:val="both"/>
      <w:rPr/>
    </w:pPr>
    <w:r>
      <w:rPr/>
    </w:r>
  </w:p>
  <w:p>
    <w:pPr>
      <w:pStyle w:val="style25"/>
      <w:jc w:val="both"/>
      <w:rPr/>
    </w:pPr>
    <w:r>
      <w:rPr/>
    </w:r>
  </w:p>
  <w:p>
    <w:pPr>
      <w:pStyle w:val="style25"/>
      <w:jc w:val="both"/>
      <w:rPr/>
    </w:pPr>
    <w:r>
      <w:rPr/>
    </w:r>
  </w:p>
  <w:p>
    <w:pPr>
      <w:pStyle w:val="style25"/>
      <w:jc w:val="both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Texto de balão Char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Cabeçalho Char"/>
    <w:basedOn w:val="style15"/>
    <w:next w:val="style17"/>
    <w:rPr/>
  </w:style>
  <w:style w:styleId="style18" w:type="character">
    <w:name w:val="Rodapé Char"/>
    <w:basedOn w:val="style15"/>
    <w:next w:val="style18"/>
    <w:rPr/>
  </w:style>
  <w:style w:styleId="style19" w:type="paragraph">
    <w:name w:val="Título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Corpo do texto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Legenda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Índice"/>
    <w:basedOn w:val="style0"/>
    <w:next w:val="style23"/>
    <w:pPr>
      <w:suppressLineNumbers/>
    </w:pPr>
    <w:rPr>
      <w:rFonts w:cs="Mangal"/>
    </w:rPr>
  </w:style>
  <w:style w:styleId="style24" w:type="paragraph">
    <w:name w:val="Balloon Text"/>
    <w:basedOn w:val="style0"/>
    <w:next w:val="style24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5" w:type="paragraph">
    <w:name w:val="Cabeçalho"/>
    <w:basedOn w:val="style0"/>
    <w:next w:val="style25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6" w:type="paragraph">
    <w:name w:val="Rodapé"/>
    <w:basedOn w:val="style0"/>
    <w:next w:val="style26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5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2015-09-16T12:04:00Z</dcterms:created>
  <dc:creator>Leticia Horbach Gonçalves</dc:creator>
  <cp:lastModifiedBy>Windows User</cp:lastModifiedBy>
  <dcterms:modified xsi:type="dcterms:W3CDTF">2015-09-17T14:27:00Z</dcterms:modified>
  <cp:revision>4</cp:revision>
</cp:coreProperties>
</file>