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rPr/>
      </w:pPr>
      <w:r>
        <w:rPr/>
        <w:drawing>
          <wp:inline distT="0" distB="0" distL="0" distR="0">
            <wp:extent cx="5181600" cy="647700"/>
            <wp:effectExtent l="0" t="0" r="0" b="0"/>
            <wp:docPr id="1" name="index-1_1.jpg" descr="index-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1_1.jpg" descr="index-1_1.jpg"/>
                    <pic:cNvPicPr>
                      <a:picLocks noChangeAspect="1" noChangeArrowheads="1"/>
                    </pic:cNvPicPr>
                  </pic:nvPicPr>
                  <pic:blipFill>
                    <a:blip r:embed="rId2"/>
                    <a:stretch>
                      <a:fillRect/>
                    </a:stretch>
                  </pic:blipFill>
                  <pic:spPr bwMode="auto">
                    <a:xfrm>
                      <a:off x="0" y="0"/>
                      <a:ext cx="5181600" cy="647700"/>
                    </a:xfrm>
                    <a:prstGeom prst="rect">
                      <a:avLst/>
                    </a:prstGeom>
                  </pic:spPr>
                </pic:pic>
              </a:graphicData>
            </a:graphic>
          </wp:inline>
        </w:drawing>
      </w:r>
    </w:p>
    <w:p>
      <w:pPr>
        <w:pStyle w:val="Normal"/>
        <w:rPr/>
      </w:pPr>
      <w:r>
        <w:rPr/>
      </w:r>
    </w:p>
    <w:p>
      <w:pPr>
        <w:pStyle w:val="Normal"/>
        <w:spacing w:lineRule="auto" w:line="240"/>
        <w:rPr>
          <w:rFonts w:ascii="Times New Roman" w:hAnsi="Times New Roman"/>
          <w:b/>
          <w:b/>
          <w:bCs/>
          <w:sz w:val="21"/>
          <w:szCs w:val="21"/>
        </w:rPr>
      </w:pPr>
      <w:r>
        <w:rPr>
          <w:rFonts w:ascii="Times New Roman" w:hAnsi="Times New Roman"/>
          <w:b/>
          <w:bCs/>
          <w:sz w:val="21"/>
          <w:szCs w:val="21"/>
        </w:rPr>
        <w:t xml:space="preserve">AVALIAÇÃO DO EQUILÍBRIO DE FASES EM AMOSTRAS DE HIDROXIAPATITA APLICAÇÃO COMO FERTILIZANTE DESTE MICRONUTRIENTE </w:t>
      </w:r>
    </w:p>
    <w:p>
      <w:pPr>
        <w:pStyle w:val="0Block"/>
        <w:spacing w:lineRule="auto" w:line="240"/>
        <w:rPr>
          <w:rFonts w:ascii="Times New Roman" w:hAnsi="Times New Roman"/>
          <w:sz w:val="21"/>
          <w:szCs w:val="21"/>
        </w:rPr>
      </w:pPr>
      <w:r>
        <w:rPr>
          <w:rFonts w:ascii="Times New Roman" w:hAnsi="Times New Roman"/>
          <w:sz w:val="21"/>
          <w:szCs w:val="21"/>
        </w:rPr>
      </w:r>
    </w:p>
    <w:p>
      <w:pPr>
        <w:pStyle w:val="Normal"/>
        <w:spacing w:lineRule="auto" w:line="240"/>
        <w:rPr>
          <w:rFonts w:ascii="Times New Roman" w:hAnsi="Times New Roman"/>
          <w:sz w:val="21"/>
          <w:szCs w:val="21"/>
        </w:rPr>
      </w:pPr>
      <w:r>
        <w:rPr>
          <w:rFonts w:ascii="Times New Roman" w:hAnsi="Times New Roman"/>
          <w:b/>
          <w:bCs/>
          <w:sz w:val="21"/>
          <w:szCs w:val="21"/>
        </w:rPr>
        <w:t>Instituição:</w:t>
      </w:r>
      <w:r>
        <w:rPr>
          <w:rFonts w:ascii="Times New Roman" w:hAnsi="Times New Roman"/>
          <w:sz w:val="21"/>
          <w:szCs w:val="21"/>
        </w:rPr>
        <w:t xml:space="preserve"> Universidade Estadual de Mato Grosso do Sul (UEMS) </w:t>
      </w:r>
    </w:p>
    <w:p>
      <w:pPr>
        <w:pStyle w:val="Normal"/>
        <w:spacing w:lineRule="auto" w:line="240"/>
        <w:rPr>
          <w:rFonts w:ascii="Times New Roman" w:hAnsi="Times New Roman"/>
          <w:sz w:val="21"/>
          <w:szCs w:val="21"/>
        </w:rPr>
      </w:pPr>
      <w:r>
        <w:rPr>
          <w:rFonts w:ascii="Times New Roman" w:hAnsi="Times New Roman"/>
          <w:b/>
          <w:bCs/>
          <w:sz w:val="21"/>
          <w:szCs w:val="21"/>
        </w:rPr>
        <w:t xml:space="preserve">Área temática: </w:t>
      </w:r>
      <w:r>
        <w:rPr>
          <w:rFonts w:ascii="Times New Roman" w:hAnsi="Times New Roman"/>
          <w:sz w:val="21"/>
          <w:szCs w:val="21"/>
        </w:rPr>
        <w:t xml:space="preserve">Pesquisa - Ciências Exatas e da Terra </w:t>
      </w:r>
    </w:p>
    <w:p>
      <w:pPr>
        <w:pStyle w:val="0Block"/>
        <w:spacing w:lineRule="auto" w:line="240"/>
        <w:rPr>
          <w:rFonts w:ascii="Times New Roman" w:hAnsi="Times New Roman"/>
          <w:sz w:val="21"/>
          <w:szCs w:val="21"/>
        </w:rPr>
      </w:pPr>
      <w:r>
        <w:rPr>
          <w:rFonts w:ascii="Times New Roman" w:hAnsi="Times New Roman"/>
          <w:sz w:val="21"/>
          <w:szCs w:val="21"/>
        </w:rPr>
      </w:r>
    </w:p>
    <w:p>
      <w:pPr>
        <w:pStyle w:val="Normal"/>
        <w:spacing w:lineRule="auto" w:line="240"/>
        <w:rPr>
          <w:rFonts w:ascii="Times New Roman" w:hAnsi="Times New Roman"/>
          <w:sz w:val="21"/>
          <w:szCs w:val="21"/>
        </w:rPr>
      </w:pPr>
      <w:r>
        <w:rPr>
          <w:rFonts w:ascii="Times New Roman" w:hAnsi="Times New Roman"/>
          <w:sz w:val="21"/>
          <w:szCs w:val="21"/>
        </w:rPr>
        <w:t xml:space="preserve">DIAS, Jussara de Morais Fritsch1 (jussaradias575@gmail.com); SIPRIANO, Avanilza lorentim1 </w:t>
      </w:r>
    </w:p>
    <w:p>
      <w:pPr>
        <w:pStyle w:val="Normal"/>
        <w:spacing w:lineRule="auto" w:line="240"/>
        <w:rPr>
          <w:rFonts w:ascii="Times New Roman" w:hAnsi="Times New Roman"/>
          <w:sz w:val="21"/>
          <w:szCs w:val="21"/>
        </w:rPr>
      </w:pPr>
      <w:r>
        <w:rPr>
          <w:rFonts w:ascii="Times New Roman" w:hAnsi="Times New Roman"/>
          <w:sz w:val="21"/>
          <w:szCs w:val="21"/>
        </w:rPr>
        <w:t xml:space="preserve">(avanilzaflorentino@gmail.com); CAVALHEIRO, Alberto Adriano2 (albecava@uems.br). </w:t>
      </w:r>
    </w:p>
    <w:p>
      <w:pPr>
        <w:pStyle w:val="0Block"/>
        <w:spacing w:lineRule="auto" w:line="240"/>
        <w:rPr>
          <w:rFonts w:ascii="Times New Roman" w:hAnsi="Times New Roman"/>
          <w:sz w:val="21"/>
          <w:szCs w:val="21"/>
        </w:rPr>
      </w:pPr>
      <w:r>
        <w:rPr>
          <w:rFonts w:ascii="Times New Roman" w:hAnsi="Times New Roman"/>
          <w:sz w:val="21"/>
          <w:szCs w:val="21"/>
        </w:rPr>
      </w:r>
    </w:p>
    <w:p>
      <w:pPr>
        <w:pStyle w:val="Normal"/>
        <w:spacing w:lineRule="auto" w:line="240"/>
        <w:rPr>
          <w:rFonts w:ascii="Times New Roman" w:hAnsi="Times New Roman"/>
          <w:sz w:val="21"/>
          <w:szCs w:val="21"/>
        </w:rPr>
      </w:pPr>
      <w:r>
        <w:rPr>
          <w:rFonts w:ascii="Times New Roman" w:hAnsi="Times New Roman"/>
          <w:sz w:val="21"/>
          <w:szCs w:val="21"/>
        </w:rPr>
        <w:t xml:space="preserve">1 Discente do curso de Licenciatura em Química da UEMS - Naviraí-MS; 2 Docente do curso de Licenciatura em Química da UEMS - Naviraí-MS. </w:t>
      </w:r>
    </w:p>
    <w:p>
      <w:pPr>
        <w:pStyle w:val="0Block"/>
        <w:spacing w:lineRule="auto" w:line="240"/>
        <w:rPr>
          <w:rFonts w:ascii="Times New Roman" w:hAnsi="Times New Roman"/>
          <w:sz w:val="21"/>
          <w:szCs w:val="21"/>
        </w:rPr>
      </w:pPr>
      <w:r>
        <w:rPr>
          <w:rFonts w:ascii="Times New Roman" w:hAnsi="Times New Roman"/>
          <w:sz w:val="21"/>
          <w:szCs w:val="21"/>
        </w:rPr>
      </w:r>
    </w:p>
    <w:p>
      <w:pPr>
        <w:pStyle w:val="Normal"/>
        <w:spacing w:lineRule="auto" w:line="240"/>
        <w:jc w:val="both"/>
        <w:rPr/>
      </w:pPr>
      <w:r>
        <w:rPr>
          <w:rStyle w:val="0Text"/>
          <w:rFonts w:ascii="Times New Roman" w:hAnsi="Times New Roman"/>
          <w:sz w:val="21"/>
          <w:szCs w:val="21"/>
        </w:rPr>
        <w:t>RESUMO:</w:t>
      </w:r>
      <w:r>
        <w:rPr>
          <w:rFonts w:ascii="Times New Roman" w:hAnsi="Times New Roman"/>
          <w:sz w:val="21"/>
          <w:szCs w:val="21"/>
        </w:rPr>
        <w:t xml:space="preserve"> Materiais inorgânicos porosos podem ser utilizados como matrizes de nutrientes para plantas, como várias argilas e outros minerais pouco solúveis. Entretanto, muitas argilas possuem alto teor de alumínio e outros micronutrientes em quantidades variáveis que dificultam o controle de dosagem de nutrientes, requerendo outro tipo de mineral, como a hidroxiapatita. A utilização de cascas de ovos em agricultura rudimentar visa suplementar as plantas com cálcio, mas a hidroxiapatita também é fonte de fosfato e atua como suplementação de nutrientes de modo mais efetivo. Apesar de a hidroxiapatita ser mais da metade da massa óssea, não é comum usar ossos de animais da pecuária para este tipo de aplicação. Por isso, obter este tipo de material para liberação controlada de nutrientes pode apresentar grande eficiência na correção do solo. A estrutura da hidroxiapatita permite substituições de cálcio, em geral, por outros cátions divalentes, como magnésio, zinco ou ferro II, mas também pode ser substituída com níquel II, por exemplo, um micronutriente raro no solo e essencial às plantas nos estágios iniciais do crescimento. A hidroxiapatita é um hidróxifosfato de cálcio de composição Ca5(PO4)3OH e uma estrutura hexagonal de reduzida energia livre, que pode ser formada mesmo em um meio reacional contendo inúmeros outras espécies químicas, sem que haja relação estequiométrica estrita entre cálcio e fosfato no meio, sendo formada pelo consumo de cálcio e fosfato do meio até que um deles se esgote. Neste trabalho, a hidroxiapatita foi sintetizada segundo duas estequiometrias nominais, uma contendo os constituintes na razão molar requerida para sua formação, contendo cálcio e fosfato na razão molar de 1,67, e outra com razão molar para a formação do fosfato de cálcio de composição Ca3(PO4)2, contendo cálcio e fosfato na razão molar de 1,5. Foi utilizada uma metodologia simples de precipitação em meio aquoso basificado com hidróxido de sódio, seguida de digestão a quente a 60 °C por 6 h e purificação por lavagem com água destilada, monitorando os filtrados por medidas de pH e condutividade iônica. Após purificação e secagem a 100 °C por 24 h, ambos os materiais foram caraterizados por termogravimetria, espectroscopia no infravermelho e difratometria de raios X, mostrando que em ambas as abordagens, a fase hexagonal característica da hidrotalcita foi obtida. Ambos os materiais apresentaram baixa cristalinidade, considerando o ordenamento de longo alcance, o que, associado à textura de um talco fino observada para os materiais, é um indicativo de possuírem áreas específicas altas o suficiente para serem aplicados em processos de adsorção, em especial como matrizes de adsorção de micronutrientes minerais. </w:t>
      </w:r>
    </w:p>
    <w:p>
      <w:pPr>
        <w:pStyle w:val="0Block"/>
        <w:spacing w:lineRule="auto" w:line="240"/>
        <w:rPr>
          <w:rFonts w:ascii="Times New Roman" w:hAnsi="Times New Roman"/>
          <w:sz w:val="21"/>
          <w:szCs w:val="21"/>
        </w:rPr>
      </w:pPr>
      <w:r>
        <w:rPr>
          <w:rFonts w:ascii="Times New Roman" w:hAnsi="Times New Roman"/>
          <w:sz w:val="21"/>
          <w:szCs w:val="21"/>
        </w:rPr>
      </w:r>
    </w:p>
    <w:p>
      <w:pPr>
        <w:pStyle w:val="0Block"/>
        <w:spacing w:lineRule="auto" w:line="240"/>
        <w:rPr>
          <w:rFonts w:ascii="Times New Roman" w:hAnsi="Times New Roman"/>
          <w:sz w:val="21"/>
          <w:szCs w:val="21"/>
        </w:rPr>
      </w:pPr>
      <w:r>
        <w:rPr>
          <w:rFonts w:ascii="Times New Roman" w:hAnsi="Times New Roman"/>
          <w:sz w:val="21"/>
          <w:szCs w:val="21"/>
        </w:rPr>
      </w:r>
    </w:p>
    <w:p>
      <w:pPr>
        <w:pStyle w:val="Normal"/>
        <w:spacing w:lineRule="auto" w:line="240"/>
        <w:rPr>
          <w:rFonts w:ascii="Times New Roman" w:hAnsi="Times New Roman"/>
          <w:sz w:val="21"/>
          <w:szCs w:val="21"/>
        </w:rPr>
      </w:pPr>
      <w:r>
        <w:rPr>
          <w:rFonts w:ascii="Times New Roman" w:hAnsi="Times New Roman"/>
          <w:sz w:val="21"/>
          <w:szCs w:val="21"/>
        </w:rPr>
        <w:t xml:space="preserve">PALAVRAS-CHAVE: Suplemento agrícola, Hidroxiapatita, Síntese, Adsorvente. </w:t>
      </w:r>
    </w:p>
    <w:p>
      <w:pPr>
        <w:pStyle w:val="0Block"/>
        <w:spacing w:lineRule="auto" w:line="240"/>
        <w:rPr>
          <w:rFonts w:ascii="Times New Roman" w:hAnsi="Times New Roman"/>
          <w:sz w:val="21"/>
          <w:szCs w:val="21"/>
        </w:rPr>
      </w:pPr>
      <w:r>
        <w:rPr>
          <w:rFonts w:ascii="Times New Roman" w:hAnsi="Times New Roman"/>
          <w:sz w:val="21"/>
          <w:szCs w:val="21"/>
        </w:rPr>
      </w:r>
    </w:p>
    <w:p>
      <w:pPr>
        <w:pStyle w:val="Normal"/>
        <w:spacing w:lineRule="auto" w:line="240"/>
        <w:rPr>
          <w:rFonts w:ascii="Times New Roman" w:hAnsi="Times New Roman"/>
          <w:sz w:val="21"/>
          <w:szCs w:val="21"/>
        </w:rPr>
      </w:pPr>
      <w:r>
        <w:rPr>
          <w:rFonts w:ascii="Times New Roman" w:hAnsi="Times New Roman"/>
          <w:sz w:val="21"/>
          <w:szCs w:val="21"/>
        </w:rPr>
        <w:t xml:space="preserve">AGRADECIMENTOS: Ao Programa PIC-UEMS, através do edital UEMS/CNPq 2023-2024 PROPPI/UEMS, pela bolsa concedida. </w:t>
      </w:r>
    </w:p>
    <w:p>
      <w:pPr>
        <w:pStyle w:val="0Block"/>
        <w:spacing w:lineRule="auto" w:line="240"/>
        <w:rPr>
          <w:rFonts w:ascii="Times New Roman" w:hAnsi="Times New Roman"/>
          <w:sz w:val="21"/>
          <w:szCs w:val="21"/>
        </w:rPr>
      </w:pPr>
      <w:r>
        <w:rPr>
          <w:rFonts w:ascii="Times New Roman" w:hAnsi="Times New Roman"/>
          <w:sz w:val="21"/>
          <w:szCs w:val="21"/>
        </w:rPr>
      </w:r>
    </w:p>
    <w:p>
      <w:pPr>
        <w:pStyle w:val="0Block"/>
        <w:rPr>
          <w:rFonts w:ascii="Times New Roman" w:hAnsi="Times New Roman"/>
        </w:rPr>
      </w:pPr>
      <w:r>
        <w:rPr>
          <w:rFonts w:ascii="Times New Roman" w:hAnsi="Times New Roman"/>
        </w:rPr>
        <w:drawing>
          <wp:anchor behindDoc="0" distT="0" distB="0" distL="0" distR="0" simplePos="0" locked="0" layoutInCell="0" allowOverlap="1" relativeHeight="3">
            <wp:simplePos x="0" y="0"/>
            <wp:positionH relativeFrom="column">
              <wp:posOffset>-17145</wp:posOffset>
            </wp:positionH>
            <wp:positionV relativeFrom="paragraph">
              <wp:posOffset>682625</wp:posOffset>
            </wp:positionV>
            <wp:extent cx="5943600" cy="660400"/>
            <wp:effectExtent l="0" t="0" r="0" b="0"/>
            <wp:wrapTopAndBottom/>
            <wp:docPr id="2" name="index-1_2.jpg" descr="index-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1_2.jpg" descr="index-1_2.jpg"/>
                    <pic:cNvPicPr>
                      <a:picLocks noChangeAspect="1" noChangeArrowheads="1"/>
                    </pic:cNvPicPr>
                  </pic:nvPicPr>
                  <pic:blipFill>
                    <a:blip r:embed="rId3"/>
                    <a:stretch>
                      <a:fillRect/>
                    </a:stretch>
                  </pic:blipFill>
                  <pic:spPr bwMode="auto">
                    <a:xfrm>
                      <a:off x="0" y="0"/>
                      <a:ext cx="5943600" cy="660400"/>
                    </a:xfrm>
                    <a:prstGeom prst="rect">
                      <a:avLst/>
                    </a:prstGeom>
                  </pic:spPr>
                </pic:pic>
              </a:graphicData>
            </a:graphic>
          </wp:anchor>
        </w:drawing>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left"/>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character" w:styleId="0Text">
    <w:name w:val="0 Text"/>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en-US" w:eastAsia="en-US" w:bidi="en-US"/>
    </w:rPr>
  </w:style>
  <w:style w:type="paragraph" w:styleId="CabealhoeRodap">
    <w:name w:val="Cabeçalho e Rodapé"/>
    <w:basedOn w:val="Normal"/>
    <w:qFormat/>
    <w:pPr>
      <w:suppressLineNumbers/>
      <w:tabs>
        <w:tab w:val="clear" w:pos="709"/>
        <w:tab w:val="center" w:pos="4680" w:leader="none"/>
        <w:tab w:val="right" w:pos="9360" w:leader="none"/>
      </w:tabs>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LibreOffice/7.3.5.2$Windows_X86_64 LibreOffice_project/184fe81b8c8c30d8b5082578aee2fed2ea847c01</Application>
  <AppVersion>15.0000</AppVersion>
  <Pages>1</Pages>
  <Words>509</Words>
  <Characters>2954</Characters>
  <CharactersWithSpaces>3463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2024-08-05T18:26:04Z</dcterms:created>
  <dc:creator>Usuário do Windows</dc:creator>
  <dc:description/>
  <dc:language>en</dc:language>
  <cp:lastModifiedBy/>
  <dcterms:modified xsi:type="dcterms:W3CDTF">2024-08-07T14:18:01Z</dcterms:modified>
  <cp:revision>2</cp:revision>
  <dc:subject/>
  <dc:title>input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