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75A5CC" w14:textId="59207430" w:rsidR="00B20693" w:rsidRPr="009D07D7" w:rsidRDefault="00D03597" w:rsidP="0022457B">
      <w:pPr>
        <w:jc w:val="center"/>
        <w:rPr>
          <w:b/>
          <w:sz w:val="20"/>
          <w:szCs w:val="20"/>
        </w:rPr>
      </w:pPr>
      <w:r w:rsidRPr="009D07D7">
        <w:rPr>
          <w:b/>
          <w:sz w:val="20"/>
          <w:szCs w:val="20"/>
        </w:rPr>
        <w:t>AVALIAÇÃO DE CULTIVARES DE SOJA QUANTO À TOLERÂNCIA AOS ESTRESSES HÍDRICO E SALINO DURANTE A FASE DE GERMINAÇÃO E CRESCIMENTO INICIAL DAS PLÂNTULAS</w:t>
      </w:r>
    </w:p>
    <w:p w14:paraId="29781362" w14:textId="77777777" w:rsidR="007D7A4B" w:rsidRPr="009D07D7" w:rsidRDefault="007D7A4B" w:rsidP="0022457B">
      <w:pPr>
        <w:jc w:val="center"/>
        <w:rPr>
          <w:b/>
          <w:sz w:val="20"/>
          <w:szCs w:val="20"/>
        </w:rPr>
      </w:pPr>
    </w:p>
    <w:p w14:paraId="7EAA2942" w14:textId="456A74BB" w:rsidR="00361B54" w:rsidRPr="009D07D7" w:rsidRDefault="00F57BF7">
      <w:pPr>
        <w:spacing w:after="283"/>
        <w:jc w:val="both"/>
      </w:pPr>
      <w:r w:rsidRPr="009D07D7">
        <w:rPr>
          <w:b/>
          <w:bCs/>
          <w:sz w:val="20"/>
          <w:szCs w:val="20"/>
        </w:rPr>
        <w:t xml:space="preserve">Instituição: </w:t>
      </w:r>
      <w:r w:rsidR="00C52ED0" w:rsidRPr="009D07D7">
        <w:rPr>
          <w:sz w:val="20"/>
          <w:szCs w:val="20"/>
        </w:rPr>
        <w:t>Universidade Estadual de Mato Grosso do Sul – UEMS</w:t>
      </w:r>
    </w:p>
    <w:p w14:paraId="60FDCA60" w14:textId="21F2E7EB" w:rsidR="00361B54" w:rsidRPr="009D07D7" w:rsidRDefault="00F57BF7">
      <w:pPr>
        <w:spacing w:after="283"/>
        <w:jc w:val="both"/>
        <w:rPr>
          <w:b/>
          <w:bCs/>
          <w:sz w:val="20"/>
          <w:szCs w:val="20"/>
        </w:rPr>
      </w:pPr>
      <w:r w:rsidRPr="009D07D7">
        <w:rPr>
          <w:b/>
          <w:bCs/>
          <w:sz w:val="20"/>
          <w:szCs w:val="20"/>
        </w:rPr>
        <w:t xml:space="preserve">Área temática: </w:t>
      </w:r>
      <w:r w:rsidR="007C3FAC" w:rsidRPr="009D07D7">
        <w:rPr>
          <w:b/>
          <w:bCs/>
          <w:sz w:val="20"/>
          <w:szCs w:val="20"/>
        </w:rPr>
        <w:t>Ciências</w:t>
      </w:r>
      <w:r w:rsidR="007C3FAC" w:rsidRPr="009D07D7">
        <w:rPr>
          <w:b/>
          <w:bCs/>
          <w:spacing w:val="-1"/>
          <w:sz w:val="20"/>
          <w:szCs w:val="20"/>
        </w:rPr>
        <w:t xml:space="preserve"> </w:t>
      </w:r>
      <w:r w:rsidR="007C3FAC" w:rsidRPr="009D07D7">
        <w:rPr>
          <w:b/>
          <w:bCs/>
          <w:sz w:val="20"/>
          <w:szCs w:val="20"/>
        </w:rPr>
        <w:t>Agrárias</w:t>
      </w:r>
      <w:r w:rsidR="007C3FAC" w:rsidRPr="009D07D7">
        <w:rPr>
          <w:b/>
          <w:bCs/>
          <w:spacing w:val="-2"/>
          <w:sz w:val="20"/>
          <w:szCs w:val="20"/>
        </w:rPr>
        <w:t xml:space="preserve"> </w:t>
      </w:r>
      <w:r w:rsidR="007C3FAC" w:rsidRPr="009D07D7">
        <w:rPr>
          <w:b/>
          <w:bCs/>
          <w:sz w:val="20"/>
          <w:szCs w:val="20"/>
        </w:rPr>
        <w:t>–</w:t>
      </w:r>
      <w:r w:rsidR="007C3FAC" w:rsidRPr="009D07D7">
        <w:rPr>
          <w:b/>
          <w:bCs/>
          <w:spacing w:val="-3"/>
          <w:sz w:val="20"/>
          <w:szCs w:val="20"/>
        </w:rPr>
        <w:t xml:space="preserve"> </w:t>
      </w:r>
      <w:r w:rsidR="007C3FAC" w:rsidRPr="009D07D7">
        <w:rPr>
          <w:b/>
          <w:bCs/>
          <w:sz w:val="20"/>
          <w:szCs w:val="20"/>
        </w:rPr>
        <w:t>Agronomia</w:t>
      </w:r>
      <w:r w:rsidR="00B20693" w:rsidRPr="009D07D7">
        <w:rPr>
          <w:b/>
          <w:bCs/>
          <w:sz w:val="20"/>
          <w:szCs w:val="20"/>
        </w:rPr>
        <w:t>.</w:t>
      </w:r>
    </w:p>
    <w:p w14:paraId="0349B964" w14:textId="11B2BB3A" w:rsidR="00361B54" w:rsidRPr="009D07D7" w:rsidRDefault="007D7A4B" w:rsidP="007D7A4B">
      <w:pPr>
        <w:pStyle w:val="Corpodetexto"/>
        <w:spacing w:after="283"/>
        <w:jc w:val="center"/>
      </w:pPr>
      <w:r w:rsidRPr="009D07D7">
        <w:rPr>
          <w:rFonts w:eastAsia="Calibri"/>
          <w:b/>
          <w:sz w:val="20"/>
          <w:szCs w:val="20"/>
          <w:lang w:eastAsia="zh-CN"/>
        </w:rPr>
        <w:t xml:space="preserve">OLIVEIRA, Isabella Santos de </w:t>
      </w:r>
      <w:r w:rsidRPr="009D07D7">
        <w:rPr>
          <w:rFonts w:eastAsia="Calibri"/>
          <w:sz w:val="20"/>
          <w:szCs w:val="20"/>
          <w:lang w:eastAsia="zh-CN"/>
        </w:rPr>
        <w:t>(</w:t>
      </w:r>
      <w:r w:rsidRPr="009D07D7">
        <w:rPr>
          <w:rStyle w:val="LinkdaInternet"/>
          <w:rFonts w:eastAsia="Calibri"/>
          <w:sz w:val="20"/>
          <w:szCs w:val="20"/>
          <w:lang w:eastAsia="zh-CN"/>
        </w:rPr>
        <w:t>isaoliveiraahh0502@gmail.com</w:t>
      </w:r>
      <w:r w:rsidRPr="009D07D7">
        <w:rPr>
          <w:rFonts w:eastAsia="Calibri"/>
          <w:sz w:val="20"/>
          <w:szCs w:val="20"/>
          <w:lang w:eastAsia="zh-CN"/>
        </w:rPr>
        <w:t>);</w:t>
      </w:r>
      <w:r w:rsidRPr="009D07D7">
        <w:rPr>
          <w:rFonts w:eastAsia="Calibri"/>
          <w:b/>
          <w:sz w:val="20"/>
          <w:szCs w:val="20"/>
          <w:lang w:eastAsia="zh-CN"/>
        </w:rPr>
        <w:t xml:space="preserve"> </w:t>
      </w:r>
      <w:r w:rsidR="00D03597" w:rsidRPr="009D07D7">
        <w:rPr>
          <w:rFonts w:eastAsia="Calibri"/>
          <w:b/>
          <w:sz w:val="20"/>
          <w:szCs w:val="20"/>
          <w:lang w:eastAsia="zh-CN"/>
        </w:rPr>
        <w:t>GUEDES, João Vitor Ferreira Lima</w:t>
      </w:r>
      <w:r w:rsidR="00D03597" w:rsidRPr="009D07D7">
        <w:rPr>
          <w:rFonts w:eastAsia="Calibri"/>
          <w:sz w:val="20"/>
          <w:szCs w:val="20"/>
          <w:vertAlign w:val="superscript"/>
          <w:lang w:eastAsia="zh-CN"/>
        </w:rPr>
        <w:t>1</w:t>
      </w:r>
      <w:r w:rsidR="00D03597" w:rsidRPr="009D07D7">
        <w:rPr>
          <w:rFonts w:eastAsia="Calibri"/>
          <w:sz w:val="20"/>
          <w:szCs w:val="20"/>
          <w:lang w:eastAsia="zh-CN"/>
        </w:rPr>
        <w:t xml:space="preserve"> (</w:t>
      </w:r>
      <w:r w:rsidR="00D03597" w:rsidRPr="009D07D7">
        <w:rPr>
          <w:rStyle w:val="LinkdaInternet"/>
          <w:rFonts w:eastAsia="Calibri"/>
          <w:sz w:val="20"/>
          <w:szCs w:val="20"/>
          <w:lang w:eastAsia="zh-CN"/>
        </w:rPr>
        <w:t>joaovitorflguedes@gmail.com</w:t>
      </w:r>
      <w:r w:rsidR="00D03597" w:rsidRPr="009D07D7">
        <w:rPr>
          <w:rFonts w:eastAsia="Calibri"/>
          <w:sz w:val="20"/>
          <w:szCs w:val="20"/>
          <w:lang w:eastAsia="zh-CN"/>
        </w:rPr>
        <w:t>);</w:t>
      </w:r>
      <w:r w:rsidR="00D03597" w:rsidRPr="009D07D7">
        <w:rPr>
          <w:rFonts w:eastAsia="Calibri"/>
          <w:b/>
          <w:sz w:val="20"/>
          <w:szCs w:val="20"/>
          <w:lang w:eastAsia="zh-CN"/>
        </w:rPr>
        <w:t xml:space="preserve"> </w:t>
      </w:r>
      <w:r w:rsidR="00B6546F" w:rsidRPr="009D07D7">
        <w:rPr>
          <w:rFonts w:eastAsia="Calibri"/>
          <w:b/>
          <w:sz w:val="20"/>
          <w:szCs w:val="20"/>
          <w:lang w:eastAsia="zh-CN"/>
        </w:rPr>
        <w:t>STEINER</w:t>
      </w:r>
      <w:r w:rsidR="00F57BF7" w:rsidRPr="009D07D7">
        <w:rPr>
          <w:rFonts w:eastAsia="Calibri"/>
          <w:b/>
          <w:sz w:val="20"/>
          <w:szCs w:val="20"/>
          <w:lang w:eastAsia="zh-CN"/>
        </w:rPr>
        <w:t xml:space="preserve">, </w:t>
      </w:r>
      <w:r w:rsidR="00B6546F" w:rsidRPr="009D07D7">
        <w:rPr>
          <w:rFonts w:eastAsia="Calibri"/>
          <w:b/>
          <w:bCs/>
          <w:sz w:val="20"/>
          <w:szCs w:val="20"/>
          <w:lang w:eastAsia="zh-CN"/>
        </w:rPr>
        <w:t>Fábio</w:t>
      </w:r>
      <w:r w:rsidR="00F57BF7" w:rsidRPr="009D07D7">
        <w:rPr>
          <w:rFonts w:eastAsia="Calibri"/>
          <w:sz w:val="20"/>
          <w:szCs w:val="20"/>
          <w:vertAlign w:val="superscript"/>
          <w:lang w:eastAsia="zh-CN"/>
        </w:rPr>
        <w:t>2</w:t>
      </w:r>
      <w:r w:rsidR="00F57BF7" w:rsidRPr="009D07D7">
        <w:rPr>
          <w:rFonts w:eastAsia="Calibri"/>
          <w:b/>
          <w:sz w:val="20"/>
          <w:szCs w:val="20"/>
          <w:lang w:eastAsia="zh-CN"/>
        </w:rPr>
        <w:t xml:space="preserve"> </w:t>
      </w:r>
      <w:r w:rsidR="00F57BF7" w:rsidRPr="009D07D7">
        <w:rPr>
          <w:rFonts w:eastAsia="Calibri"/>
          <w:sz w:val="20"/>
          <w:szCs w:val="20"/>
          <w:lang w:eastAsia="zh-CN"/>
        </w:rPr>
        <w:t>(</w:t>
      </w:r>
      <w:hyperlink r:id="rId7" w:history="1">
        <w:r w:rsidR="00487FC4" w:rsidRPr="009D07D7">
          <w:rPr>
            <w:rStyle w:val="Hyperlink"/>
            <w:rFonts w:eastAsia="Calibri"/>
            <w:sz w:val="20"/>
            <w:szCs w:val="20"/>
            <w:lang w:eastAsia="zh-CN"/>
          </w:rPr>
          <w:t>steiner@uems.br</w:t>
        </w:r>
      </w:hyperlink>
      <w:r w:rsidR="00F57BF7" w:rsidRPr="009D07D7">
        <w:rPr>
          <w:rFonts w:eastAsia="Calibri"/>
          <w:sz w:val="20"/>
          <w:szCs w:val="20"/>
          <w:lang w:eastAsia="zh-CN"/>
        </w:rPr>
        <w:t>)</w:t>
      </w:r>
      <w:r w:rsidRPr="009D07D7">
        <w:rPr>
          <w:rFonts w:eastAsia="Calibri"/>
          <w:sz w:val="20"/>
          <w:szCs w:val="20"/>
          <w:lang w:eastAsia="zh-CN"/>
        </w:rPr>
        <w:t>.</w:t>
      </w:r>
    </w:p>
    <w:p w14:paraId="3E59F61D" w14:textId="270E1820" w:rsidR="00361B54" w:rsidRPr="009D07D7" w:rsidRDefault="00F57BF7">
      <w:pPr>
        <w:pStyle w:val="Corpodetexto"/>
        <w:jc w:val="both"/>
        <w:rPr>
          <w:sz w:val="20"/>
          <w:szCs w:val="20"/>
        </w:rPr>
      </w:pPr>
      <w:r w:rsidRPr="009D07D7">
        <w:rPr>
          <w:rFonts w:eastAsia="Calibri"/>
          <w:sz w:val="20"/>
          <w:szCs w:val="20"/>
          <w:vertAlign w:val="superscript"/>
          <w:lang w:eastAsia="zh-CN"/>
        </w:rPr>
        <w:t>1</w:t>
      </w:r>
      <w:r w:rsidRPr="009D07D7">
        <w:rPr>
          <w:rFonts w:eastAsia="Calibri"/>
          <w:sz w:val="20"/>
          <w:szCs w:val="20"/>
          <w:lang w:eastAsia="zh-CN"/>
        </w:rPr>
        <w:t xml:space="preserve"> – </w:t>
      </w:r>
      <w:r w:rsidR="00D03597" w:rsidRPr="009D07D7">
        <w:rPr>
          <w:rFonts w:eastAsia="Calibri"/>
          <w:sz w:val="20"/>
          <w:szCs w:val="20"/>
          <w:lang w:eastAsia="zh-CN"/>
        </w:rPr>
        <w:t xml:space="preserve">Discente </w:t>
      </w:r>
      <w:r w:rsidR="0023757E" w:rsidRPr="009D07D7">
        <w:rPr>
          <w:rFonts w:eastAsia="Calibri"/>
          <w:sz w:val="20"/>
          <w:szCs w:val="20"/>
          <w:lang w:eastAsia="zh-CN"/>
        </w:rPr>
        <w:t>do Curso de Graduação em Agronomia, Universidade Estadual de Mato Grosso do Sul (UEMS), Unidade Universitária de Cassilândia.</w:t>
      </w:r>
    </w:p>
    <w:p w14:paraId="1C4386A3" w14:textId="2B4516E7" w:rsidR="00361B54" w:rsidRPr="009D07D7" w:rsidRDefault="00F57BF7">
      <w:pPr>
        <w:pStyle w:val="Corpodetexto"/>
        <w:jc w:val="both"/>
        <w:rPr>
          <w:sz w:val="20"/>
          <w:szCs w:val="20"/>
        </w:rPr>
      </w:pPr>
      <w:r w:rsidRPr="009D07D7">
        <w:rPr>
          <w:rFonts w:eastAsia="Calibri"/>
          <w:sz w:val="20"/>
          <w:szCs w:val="20"/>
          <w:vertAlign w:val="superscript"/>
          <w:lang w:eastAsia="zh-CN"/>
        </w:rPr>
        <w:t>2</w:t>
      </w:r>
      <w:r w:rsidRPr="009D07D7">
        <w:rPr>
          <w:rFonts w:eastAsia="Calibri"/>
          <w:sz w:val="20"/>
          <w:szCs w:val="20"/>
          <w:lang w:eastAsia="zh-CN"/>
        </w:rPr>
        <w:t xml:space="preserve"> – </w:t>
      </w:r>
      <w:r w:rsidR="00D03597" w:rsidRPr="009D07D7">
        <w:rPr>
          <w:rFonts w:eastAsia="Calibri"/>
          <w:sz w:val="20"/>
          <w:szCs w:val="20"/>
          <w:lang w:eastAsia="zh-CN"/>
        </w:rPr>
        <w:t xml:space="preserve">Docente </w:t>
      </w:r>
      <w:r w:rsidR="0023757E" w:rsidRPr="009D07D7">
        <w:rPr>
          <w:rFonts w:eastAsia="Calibri"/>
          <w:sz w:val="20"/>
          <w:szCs w:val="20"/>
          <w:lang w:eastAsia="zh-CN"/>
        </w:rPr>
        <w:t>do Curso de Graduação em Agronomia, Universidade Estadual de Mato Grosso do Sul (UEMS), Unidade Universitária de Cassilândia.</w:t>
      </w:r>
    </w:p>
    <w:p w14:paraId="0A59CB37" w14:textId="77777777" w:rsidR="00536C75" w:rsidRPr="009D07D7" w:rsidRDefault="00536C75" w:rsidP="0049321C">
      <w:pPr>
        <w:pStyle w:val="Default"/>
        <w:spacing w:after="0" w:line="240" w:lineRule="auto"/>
        <w:jc w:val="both"/>
        <w:rPr>
          <w:rFonts w:ascii="Times New Roman" w:hAnsi="Times New Roman" w:cs="Times New Roman"/>
          <w:color w:val="000000" w:themeColor="text1"/>
          <w:sz w:val="20"/>
          <w:szCs w:val="20"/>
          <w:shd w:val="clear" w:color="auto" w:fill="FFFFFF"/>
        </w:rPr>
      </w:pPr>
    </w:p>
    <w:p w14:paraId="4B8FC434" w14:textId="77777777" w:rsidR="0049321C" w:rsidRPr="009D07D7" w:rsidRDefault="0049321C">
      <w:pPr>
        <w:spacing w:after="283"/>
        <w:jc w:val="both"/>
        <w:rPr>
          <w:sz w:val="20"/>
          <w:szCs w:val="20"/>
          <w:lang w:eastAsia="pt-BR"/>
        </w:rPr>
      </w:pPr>
    </w:p>
    <w:p w14:paraId="2226097A" w14:textId="786FD26E" w:rsidR="00394DF9" w:rsidRDefault="00D03597" w:rsidP="00394DF9">
      <w:pPr>
        <w:spacing w:after="283"/>
        <w:jc w:val="both"/>
        <w:rPr>
          <w:sz w:val="20"/>
          <w:szCs w:val="20"/>
          <w:lang w:eastAsia="pt-BR"/>
        </w:rPr>
      </w:pPr>
      <w:bookmarkStart w:id="0" w:name="_Hlk144725991"/>
      <w:r w:rsidRPr="00773F71">
        <w:rPr>
          <w:sz w:val="20"/>
          <w:szCs w:val="20"/>
          <w:lang w:eastAsia="pt-BR"/>
        </w:rPr>
        <w:t xml:space="preserve">O estresse hídrico e </w:t>
      </w:r>
      <w:r w:rsidR="005F0B7B" w:rsidRPr="00773F71">
        <w:rPr>
          <w:sz w:val="20"/>
          <w:szCs w:val="20"/>
          <w:lang w:eastAsia="pt-BR"/>
        </w:rPr>
        <w:t xml:space="preserve">salino </w:t>
      </w:r>
      <w:r w:rsidRPr="00773F71">
        <w:rPr>
          <w:sz w:val="20"/>
          <w:szCs w:val="20"/>
          <w:lang w:eastAsia="pt-BR"/>
        </w:rPr>
        <w:t xml:space="preserve">são </w:t>
      </w:r>
      <w:r w:rsidR="005B363A" w:rsidRPr="00773F71">
        <w:rPr>
          <w:sz w:val="20"/>
          <w:szCs w:val="20"/>
          <w:lang w:eastAsia="pt-BR"/>
        </w:rPr>
        <w:t>apontados como os principais</w:t>
      </w:r>
      <w:r w:rsidRPr="00773F71">
        <w:rPr>
          <w:sz w:val="20"/>
          <w:szCs w:val="20"/>
          <w:lang w:eastAsia="pt-BR"/>
        </w:rPr>
        <w:t xml:space="preserve"> fatores abióticos que limitam a germinação </w:t>
      </w:r>
      <w:r w:rsidR="005B363A" w:rsidRPr="00773F71">
        <w:rPr>
          <w:sz w:val="20"/>
          <w:szCs w:val="20"/>
          <w:lang w:eastAsia="pt-BR"/>
        </w:rPr>
        <w:t xml:space="preserve">das sementes </w:t>
      </w:r>
      <w:r w:rsidRPr="00773F71">
        <w:rPr>
          <w:sz w:val="20"/>
          <w:szCs w:val="20"/>
          <w:lang w:eastAsia="pt-BR"/>
        </w:rPr>
        <w:t xml:space="preserve">e o </w:t>
      </w:r>
      <w:r w:rsidR="005B363A" w:rsidRPr="00773F71">
        <w:rPr>
          <w:sz w:val="20"/>
          <w:szCs w:val="20"/>
          <w:lang w:eastAsia="pt-BR"/>
        </w:rPr>
        <w:t xml:space="preserve">crescimento inicial das </w:t>
      </w:r>
      <w:r w:rsidRPr="00773F71">
        <w:rPr>
          <w:sz w:val="20"/>
          <w:szCs w:val="20"/>
          <w:lang w:eastAsia="pt-BR"/>
        </w:rPr>
        <w:t>plantas</w:t>
      </w:r>
      <w:r w:rsidR="005B363A" w:rsidRPr="00773F71">
        <w:rPr>
          <w:sz w:val="20"/>
          <w:szCs w:val="20"/>
          <w:lang w:eastAsia="pt-BR"/>
        </w:rPr>
        <w:t xml:space="preserve">. Estes estresses abióticos </w:t>
      </w:r>
      <w:r w:rsidR="009D07D7" w:rsidRPr="00773F71">
        <w:rPr>
          <w:sz w:val="20"/>
          <w:szCs w:val="20"/>
          <w:lang w:eastAsia="pt-BR"/>
        </w:rPr>
        <w:t>têm</w:t>
      </w:r>
      <w:r w:rsidR="005B363A" w:rsidRPr="00773F71">
        <w:rPr>
          <w:sz w:val="20"/>
          <w:szCs w:val="20"/>
          <w:lang w:eastAsia="pt-BR"/>
        </w:rPr>
        <w:t xml:space="preserve"> se intensificados nos últimos anos com as recentes mudanças climáticas do mundo, o que pode comprometer a produção de alimentos nas próximas décadas. Estudos que visam identificar cultivares com maior tolerância aos estresses hídrico e salino despontam como de grande interesse para a pesquisa agrícola. Portanto, e</w:t>
      </w:r>
      <w:bookmarkEnd w:id="0"/>
      <w:r w:rsidRPr="00773F71">
        <w:rPr>
          <w:sz w:val="20"/>
          <w:szCs w:val="20"/>
          <w:lang w:eastAsia="pt-BR"/>
        </w:rPr>
        <w:t xml:space="preserve">studos que </w:t>
      </w:r>
      <w:r w:rsidR="005B363A" w:rsidRPr="00773F71">
        <w:rPr>
          <w:sz w:val="20"/>
          <w:szCs w:val="20"/>
          <w:lang w:eastAsia="pt-BR"/>
        </w:rPr>
        <w:t xml:space="preserve">buscam </w:t>
      </w:r>
      <w:r w:rsidRPr="00773F71">
        <w:rPr>
          <w:sz w:val="20"/>
          <w:szCs w:val="20"/>
          <w:lang w:eastAsia="pt-BR"/>
        </w:rPr>
        <w:t xml:space="preserve">identificar cultivares com maior tolerância aos estresses hídrico e salino despontam como de grande interesse para a pesquisa agrícola. </w:t>
      </w:r>
      <w:r w:rsidR="005B363A" w:rsidRPr="00773F71">
        <w:rPr>
          <w:sz w:val="20"/>
          <w:szCs w:val="20"/>
          <w:lang w:eastAsia="pt-BR"/>
        </w:rPr>
        <w:t xml:space="preserve">Este estudo foi </w:t>
      </w:r>
      <w:r w:rsidRPr="00773F71">
        <w:rPr>
          <w:sz w:val="20"/>
          <w:szCs w:val="20"/>
          <w:lang w:eastAsia="pt-BR"/>
        </w:rPr>
        <w:t>conduzid</w:t>
      </w:r>
      <w:r w:rsidR="005B363A" w:rsidRPr="00773F71">
        <w:rPr>
          <w:sz w:val="20"/>
          <w:szCs w:val="20"/>
          <w:lang w:eastAsia="pt-BR"/>
        </w:rPr>
        <w:t>o</w:t>
      </w:r>
      <w:r w:rsidRPr="00773F71">
        <w:rPr>
          <w:sz w:val="20"/>
          <w:szCs w:val="20"/>
          <w:lang w:eastAsia="pt-BR"/>
        </w:rPr>
        <w:t xml:space="preserve"> com a finalidade de avaliar a tolerância de </w:t>
      </w:r>
      <w:r w:rsidR="004213CF" w:rsidRPr="00773F71">
        <w:rPr>
          <w:sz w:val="20"/>
          <w:szCs w:val="20"/>
          <w:lang w:eastAsia="pt-BR"/>
        </w:rPr>
        <w:t>70</w:t>
      </w:r>
      <w:r w:rsidRPr="00773F71">
        <w:rPr>
          <w:sz w:val="20"/>
          <w:szCs w:val="20"/>
          <w:lang w:eastAsia="pt-BR"/>
        </w:rPr>
        <w:t xml:space="preserve"> cultivares de soja aos estresses hídrico e salino durante a fase de germinação e crescimento inicial das plântulas. </w:t>
      </w:r>
      <w:r w:rsidR="004213CF" w:rsidRPr="00773F71">
        <w:rPr>
          <w:sz w:val="20"/>
          <w:szCs w:val="20"/>
          <w:lang w:eastAsia="pt-BR"/>
        </w:rPr>
        <w:t xml:space="preserve">O experimento foi conduzido no Laboratório de Ecofisiologia Vegetal da </w:t>
      </w:r>
      <w:r w:rsidR="001F55FF" w:rsidRPr="00773F71">
        <w:rPr>
          <w:sz w:val="20"/>
          <w:szCs w:val="20"/>
          <w:lang w:eastAsia="pt-BR"/>
        </w:rPr>
        <w:t xml:space="preserve">UEMS/Cassilândia. </w:t>
      </w:r>
      <w:r w:rsidRPr="00773F71">
        <w:rPr>
          <w:sz w:val="20"/>
          <w:szCs w:val="20"/>
          <w:lang w:eastAsia="pt-BR"/>
        </w:rPr>
        <w:t>O estresse hídrico e salino foram induzidos pela exposição das sementes em soluções com potencial osmótico de –0,30 MPa preparadas, respectivamente, com polietilenoglicol PEG-6000 (151,403 g L</w:t>
      </w:r>
      <w:r w:rsidRPr="00773F71">
        <w:rPr>
          <w:sz w:val="20"/>
          <w:szCs w:val="20"/>
          <w:vertAlign w:val="superscript"/>
          <w:lang w:eastAsia="pt-BR"/>
        </w:rPr>
        <w:t>–1</w:t>
      </w:r>
      <w:r w:rsidRPr="00773F71">
        <w:rPr>
          <w:sz w:val="20"/>
          <w:szCs w:val="20"/>
          <w:lang w:eastAsia="pt-BR"/>
        </w:rPr>
        <w:t>) e NaCl (3,536 g L</w:t>
      </w:r>
      <w:r w:rsidRPr="00773F71">
        <w:rPr>
          <w:sz w:val="20"/>
          <w:szCs w:val="20"/>
          <w:vertAlign w:val="superscript"/>
          <w:lang w:eastAsia="pt-BR"/>
        </w:rPr>
        <w:t>–1</w:t>
      </w:r>
      <w:r w:rsidRPr="00773F71">
        <w:rPr>
          <w:sz w:val="20"/>
          <w:szCs w:val="20"/>
          <w:lang w:eastAsia="pt-BR"/>
        </w:rPr>
        <w:t xml:space="preserve">) </w:t>
      </w:r>
      <w:r w:rsidR="001F55FF" w:rsidRPr="00773F71">
        <w:rPr>
          <w:sz w:val="20"/>
          <w:szCs w:val="20"/>
          <w:lang w:eastAsia="pt-BR"/>
        </w:rPr>
        <w:t xml:space="preserve">por 14 dias </w:t>
      </w:r>
      <w:r w:rsidRPr="00773F71">
        <w:rPr>
          <w:sz w:val="20"/>
          <w:szCs w:val="20"/>
          <w:lang w:eastAsia="pt-BR"/>
        </w:rPr>
        <w:t xml:space="preserve">à 25 °C. A partir dos dados de germinação, comprimento e matéria seca das plântulas em condições </w:t>
      </w:r>
      <w:r w:rsidR="00E80498" w:rsidRPr="00773F71">
        <w:rPr>
          <w:sz w:val="20"/>
          <w:szCs w:val="20"/>
          <w:lang w:eastAsia="pt-BR"/>
        </w:rPr>
        <w:t>estressantes (</w:t>
      </w:r>
      <w:r w:rsidRPr="00773F71">
        <w:rPr>
          <w:sz w:val="20"/>
          <w:szCs w:val="20"/>
          <w:lang w:eastAsia="pt-BR"/>
        </w:rPr>
        <w:t>estresse hídrico</w:t>
      </w:r>
      <w:r w:rsidR="00E80498" w:rsidRPr="00773F71">
        <w:rPr>
          <w:sz w:val="20"/>
          <w:szCs w:val="20"/>
          <w:lang w:eastAsia="pt-BR"/>
        </w:rPr>
        <w:t xml:space="preserve"> e</w:t>
      </w:r>
      <w:r w:rsidRPr="00773F71">
        <w:rPr>
          <w:sz w:val="20"/>
          <w:szCs w:val="20"/>
          <w:lang w:eastAsia="pt-BR"/>
        </w:rPr>
        <w:t xml:space="preserve"> salino</w:t>
      </w:r>
      <w:r w:rsidR="00E80498" w:rsidRPr="00773F71">
        <w:rPr>
          <w:sz w:val="20"/>
          <w:szCs w:val="20"/>
          <w:lang w:eastAsia="pt-BR"/>
        </w:rPr>
        <w:t xml:space="preserve">) </w:t>
      </w:r>
      <w:r w:rsidRPr="00773F71">
        <w:rPr>
          <w:sz w:val="20"/>
          <w:szCs w:val="20"/>
          <w:lang w:eastAsia="pt-BR"/>
        </w:rPr>
        <w:t xml:space="preserve">e </w:t>
      </w:r>
      <w:r w:rsidR="00E80498" w:rsidRPr="00773F71">
        <w:rPr>
          <w:sz w:val="20"/>
          <w:szCs w:val="20"/>
          <w:lang w:eastAsia="pt-BR"/>
        </w:rPr>
        <w:t>não estressantes (</w:t>
      </w:r>
      <w:r w:rsidRPr="00773F71">
        <w:rPr>
          <w:sz w:val="20"/>
          <w:szCs w:val="20"/>
          <w:lang w:eastAsia="pt-BR"/>
        </w:rPr>
        <w:t>controle</w:t>
      </w:r>
      <w:r w:rsidR="00E80498" w:rsidRPr="00773F71">
        <w:rPr>
          <w:sz w:val="20"/>
          <w:szCs w:val="20"/>
          <w:lang w:eastAsia="pt-BR"/>
        </w:rPr>
        <w:t>)</w:t>
      </w:r>
      <w:r w:rsidRPr="00773F71">
        <w:rPr>
          <w:sz w:val="20"/>
          <w:szCs w:val="20"/>
          <w:lang w:eastAsia="pt-BR"/>
        </w:rPr>
        <w:t xml:space="preserve"> foram calculados os índices de tolerância de estresse (ITE). </w:t>
      </w:r>
      <w:r w:rsidR="003C696D" w:rsidRPr="00773F71">
        <w:rPr>
          <w:sz w:val="20"/>
          <w:szCs w:val="20"/>
          <w:lang w:eastAsia="pt-BR"/>
        </w:rPr>
        <w:t xml:space="preserve">Os dados foram submetidos à análise de variância aplicando-se o teste F de Fisher-Snedecor ao nível de 5% de probabilidade. As médias foram agrupadas pelo teste de Scott-Knott ao nível de 5% de probabilidade. </w:t>
      </w:r>
      <w:r w:rsidR="00394DF9" w:rsidRPr="00773F71">
        <w:rPr>
          <w:sz w:val="20"/>
          <w:szCs w:val="20"/>
          <w:lang w:eastAsia="pt-BR"/>
        </w:rPr>
        <w:t>A classificação d</w:t>
      </w:r>
      <w:r w:rsidRPr="00773F71">
        <w:rPr>
          <w:sz w:val="20"/>
          <w:szCs w:val="20"/>
          <w:lang w:eastAsia="pt-BR"/>
        </w:rPr>
        <w:t xml:space="preserve">as cultivares de soja </w:t>
      </w:r>
      <w:r w:rsidR="00394DF9" w:rsidRPr="00773F71">
        <w:rPr>
          <w:sz w:val="20"/>
          <w:szCs w:val="20"/>
          <w:lang w:eastAsia="pt-BR"/>
        </w:rPr>
        <w:t xml:space="preserve">em genótipos </w:t>
      </w:r>
      <w:r w:rsidRPr="00773F71">
        <w:rPr>
          <w:sz w:val="20"/>
          <w:szCs w:val="20"/>
          <w:lang w:eastAsia="pt-BR"/>
        </w:rPr>
        <w:t>tolerantes</w:t>
      </w:r>
      <w:r w:rsidR="00394DF9" w:rsidRPr="00773F71">
        <w:rPr>
          <w:sz w:val="20"/>
          <w:szCs w:val="20"/>
          <w:lang w:eastAsia="pt-BR"/>
        </w:rPr>
        <w:t xml:space="preserve">, moderadamente tolerante, moderadamente suscetíveis e suscetíveis foi realizada </w:t>
      </w:r>
      <w:r w:rsidRPr="00773F71">
        <w:rPr>
          <w:sz w:val="20"/>
          <w:szCs w:val="20"/>
          <w:lang w:eastAsia="pt-BR"/>
        </w:rPr>
        <w:t>utiliz</w:t>
      </w:r>
      <w:r w:rsidR="00394DF9" w:rsidRPr="00773F71">
        <w:rPr>
          <w:sz w:val="20"/>
          <w:szCs w:val="20"/>
          <w:lang w:eastAsia="pt-BR"/>
        </w:rPr>
        <w:t>ando</w:t>
      </w:r>
      <w:r w:rsidRPr="00773F71">
        <w:rPr>
          <w:sz w:val="20"/>
          <w:szCs w:val="20"/>
          <w:lang w:eastAsia="pt-BR"/>
        </w:rPr>
        <w:t xml:space="preserve">-se </w:t>
      </w:r>
      <w:r w:rsidR="00394DF9" w:rsidRPr="00773F71">
        <w:rPr>
          <w:sz w:val="20"/>
          <w:szCs w:val="20"/>
          <w:lang w:eastAsia="pt-BR"/>
        </w:rPr>
        <w:t>o método de</w:t>
      </w:r>
      <w:r w:rsidRPr="00773F71">
        <w:rPr>
          <w:sz w:val="20"/>
          <w:szCs w:val="20"/>
          <w:lang w:eastAsia="pt-BR"/>
        </w:rPr>
        <w:t xml:space="preserve"> análise multivariada </w:t>
      </w:r>
      <w:r w:rsidR="00394DF9" w:rsidRPr="00773F71">
        <w:rPr>
          <w:sz w:val="20"/>
          <w:szCs w:val="20"/>
          <w:lang w:eastAsia="pt-BR"/>
        </w:rPr>
        <w:t>de</w:t>
      </w:r>
      <w:r w:rsidRPr="00773F71">
        <w:rPr>
          <w:sz w:val="20"/>
          <w:szCs w:val="20"/>
          <w:lang w:eastAsia="pt-BR"/>
        </w:rPr>
        <w:t xml:space="preserve"> ranqueamento</w:t>
      </w:r>
      <w:r w:rsidR="00394DF9" w:rsidRPr="00773F71">
        <w:rPr>
          <w:sz w:val="20"/>
          <w:szCs w:val="20"/>
          <w:lang w:eastAsia="pt-BR"/>
        </w:rPr>
        <w:t xml:space="preserve">. As cultivares de soja NS 5909 RG, NS 7000 IPRO, NS 7338IPRO, FPS Solimões RR, NS 5151 IPRO, SYN 13610 IPRO, LG 60177 IPRO, NS 6909 IPRO, BMX Desafio RR, RK 8317 IPRO, TMG 2383 IPRO, TMG 7061 IPRO, TMG 7063 IPRO e ST 777 IPRO foram classificadas como tolerantes ao estresse hídrico, e são as cultivares mais indicadas para serem semeadas em condições de baixa disponibilidade de água no solo. </w:t>
      </w:r>
      <w:r w:rsidR="003C696D" w:rsidRPr="00773F71">
        <w:rPr>
          <w:sz w:val="20"/>
          <w:szCs w:val="20"/>
          <w:lang w:eastAsia="pt-BR"/>
        </w:rPr>
        <w:t>A</w:t>
      </w:r>
      <w:r w:rsidR="00394DF9" w:rsidRPr="00773F71">
        <w:rPr>
          <w:sz w:val="20"/>
          <w:szCs w:val="20"/>
          <w:lang w:eastAsia="pt-BR"/>
        </w:rPr>
        <w:t xml:space="preserve">s cultivares </w:t>
      </w:r>
      <w:r w:rsidR="003C696D" w:rsidRPr="00773F71">
        <w:rPr>
          <w:sz w:val="20"/>
          <w:szCs w:val="20"/>
          <w:lang w:eastAsia="pt-BR"/>
        </w:rPr>
        <w:t xml:space="preserve">de soja 5D 615 RR, BMX Desafio RR, 5D 6215 IPRO, BMX Ponta IPRO, </w:t>
      </w:r>
      <w:r w:rsidR="00394DF9" w:rsidRPr="00773F71">
        <w:rPr>
          <w:sz w:val="20"/>
          <w:szCs w:val="20"/>
          <w:lang w:eastAsia="pt-BR"/>
        </w:rPr>
        <w:t xml:space="preserve">TMG 2383 IPRO, 98R31 IPRO, 98R35 IPRO, ST 777 IPRO, M5917 IPRO, ST 797 IPRO e TMG 7067 </w:t>
      </w:r>
      <w:r w:rsidR="003C696D" w:rsidRPr="00773F71">
        <w:rPr>
          <w:sz w:val="20"/>
          <w:szCs w:val="20"/>
          <w:lang w:eastAsia="pt-BR"/>
        </w:rPr>
        <w:t xml:space="preserve">foram classificadas como tolerantes ao estresse salino, e são as cultivares </w:t>
      </w:r>
      <w:r w:rsidR="00394DF9" w:rsidRPr="00773F71">
        <w:rPr>
          <w:sz w:val="20"/>
          <w:szCs w:val="20"/>
          <w:lang w:eastAsia="pt-BR"/>
        </w:rPr>
        <w:t>mais indicadas para serem cultivadas em solos salinos</w:t>
      </w:r>
      <w:r w:rsidR="003C696D" w:rsidRPr="00773F71">
        <w:rPr>
          <w:sz w:val="20"/>
          <w:szCs w:val="20"/>
          <w:lang w:eastAsia="pt-BR"/>
        </w:rPr>
        <w:t xml:space="preserve"> ou irrigadas com água salinas</w:t>
      </w:r>
      <w:r w:rsidR="00394DF9" w:rsidRPr="00773F71">
        <w:rPr>
          <w:sz w:val="20"/>
          <w:szCs w:val="20"/>
          <w:lang w:eastAsia="pt-BR"/>
        </w:rPr>
        <w:t>.</w:t>
      </w:r>
    </w:p>
    <w:p w14:paraId="27B2C9D2" w14:textId="1FDF2172" w:rsidR="00361B54" w:rsidRPr="009D07D7" w:rsidRDefault="00F57BF7">
      <w:pPr>
        <w:spacing w:after="283"/>
        <w:jc w:val="both"/>
        <w:rPr>
          <w:sz w:val="20"/>
          <w:szCs w:val="20"/>
        </w:rPr>
      </w:pPr>
      <w:r w:rsidRPr="009D07D7">
        <w:rPr>
          <w:b/>
          <w:bCs/>
          <w:sz w:val="20"/>
          <w:szCs w:val="20"/>
          <w:lang w:eastAsia="pt-BR"/>
        </w:rPr>
        <w:t>PALAVRAS-CHAVE:</w:t>
      </w:r>
      <w:r w:rsidRPr="009D07D7">
        <w:rPr>
          <w:sz w:val="20"/>
          <w:szCs w:val="20"/>
          <w:lang w:eastAsia="pt-BR"/>
        </w:rPr>
        <w:t xml:space="preserve"> </w:t>
      </w:r>
      <w:r w:rsidR="00D03597" w:rsidRPr="009D07D7">
        <w:rPr>
          <w:i/>
          <w:iCs/>
          <w:sz w:val="20"/>
          <w:szCs w:val="20"/>
          <w:lang w:eastAsia="pt-BR"/>
        </w:rPr>
        <w:t>Glycine max</w:t>
      </w:r>
      <w:r w:rsidR="00D03597" w:rsidRPr="009D07D7">
        <w:rPr>
          <w:sz w:val="20"/>
          <w:szCs w:val="20"/>
          <w:lang w:eastAsia="pt-BR"/>
        </w:rPr>
        <w:t xml:space="preserve"> (L.) Merrill, índice de tolerância, potencial osmótico.</w:t>
      </w:r>
    </w:p>
    <w:p w14:paraId="07E7A55E" w14:textId="30D39C0E" w:rsidR="00361B54" w:rsidRDefault="00F57BF7">
      <w:pPr>
        <w:jc w:val="both"/>
        <w:rPr>
          <w:sz w:val="20"/>
          <w:szCs w:val="20"/>
        </w:rPr>
      </w:pPr>
      <w:r w:rsidRPr="009D07D7">
        <w:rPr>
          <w:b/>
          <w:bCs/>
          <w:sz w:val="20"/>
          <w:szCs w:val="20"/>
          <w:lang w:eastAsia="pt-BR"/>
        </w:rPr>
        <w:t>AGRADECIMENTOS:</w:t>
      </w:r>
      <w:r w:rsidRPr="009D07D7">
        <w:rPr>
          <w:sz w:val="20"/>
          <w:szCs w:val="20"/>
          <w:lang w:eastAsia="pt-BR"/>
        </w:rPr>
        <w:t xml:space="preserve"> </w:t>
      </w:r>
      <w:r w:rsidR="00775209" w:rsidRPr="009D07D7">
        <w:rPr>
          <w:sz w:val="20"/>
          <w:szCs w:val="20"/>
          <w:lang w:eastAsia="pt-BR"/>
        </w:rPr>
        <w:t>UEMS.</w:t>
      </w:r>
      <w:bookmarkStart w:id="1" w:name="_GoBack"/>
      <w:bookmarkEnd w:id="1"/>
    </w:p>
    <w:sectPr w:rsidR="00361B54">
      <w:headerReference w:type="even" r:id="rId8"/>
      <w:headerReference w:type="default" r:id="rId9"/>
      <w:footerReference w:type="even" r:id="rId10"/>
      <w:footerReference w:type="default" r:id="rId11"/>
      <w:headerReference w:type="first" r:id="rId12"/>
      <w:footerReference w:type="first" r:id="rId13"/>
      <w:pgSz w:w="11906" w:h="16838"/>
      <w:pgMar w:top="1700" w:right="1134" w:bottom="1133" w:left="1134" w:header="283" w:footer="283" w:gutter="0"/>
      <w:cols w:space="720"/>
      <w:formProt w:val="0"/>
      <w:docGrid w:linePitch="1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7E1AA" w14:textId="77777777" w:rsidR="004004FD" w:rsidRPr="009D07D7" w:rsidRDefault="004004FD">
      <w:r w:rsidRPr="009D07D7">
        <w:separator/>
      </w:r>
    </w:p>
  </w:endnote>
  <w:endnote w:type="continuationSeparator" w:id="0">
    <w:p w14:paraId="66B13936" w14:textId="77777777" w:rsidR="004004FD" w:rsidRPr="009D07D7" w:rsidRDefault="004004FD">
      <w:r w:rsidRPr="009D07D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14D3A" w14:textId="77777777" w:rsidR="00361B54" w:rsidRPr="009D07D7" w:rsidRDefault="00361B54">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30CE8" w14:textId="77777777" w:rsidR="00361B54" w:rsidRPr="009D07D7" w:rsidRDefault="00F57BF7">
    <w:pPr>
      <w:pStyle w:val="Rodap"/>
      <w:jc w:val="right"/>
    </w:pPr>
    <w:r w:rsidRPr="009D07D7">
      <w:rPr>
        <w:noProof/>
        <w:lang w:eastAsia="pt-BR"/>
      </w:rPr>
      <w:drawing>
        <wp:anchor distT="0" distB="0" distL="114300" distR="114300" simplePos="0" relativeHeight="251656192" behindDoc="1" locked="0" layoutInCell="0" allowOverlap="1" wp14:anchorId="3DEA9362" wp14:editId="6B24E32D">
          <wp:simplePos x="0" y="0"/>
          <wp:positionH relativeFrom="column">
            <wp:posOffset>635</wp:posOffset>
          </wp:positionH>
          <wp:positionV relativeFrom="paragraph">
            <wp:posOffset>48260</wp:posOffset>
          </wp:positionV>
          <wp:extent cx="1605915" cy="453390"/>
          <wp:effectExtent l="0" t="0" r="0" b="0"/>
          <wp:wrapSquare wrapText="bothSides"/>
          <wp:docPr id="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sidRPr="009D07D7">
      <w:rPr>
        <w:noProof/>
        <w:lang w:eastAsia="pt-BR"/>
      </w:rPr>
      <w:drawing>
        <wp:inline distT="0" distB="0" distL="0" distR="0" wp14:anchorId="012C279E" wp14:editId="15F88C07">
          <wp:extent cx="1008380" cy="501650"/>
          <wp:effectExtent l="0" t="0" r="0" b="0"/>
          <wp:docPr id="4"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85AECC" w14:textId="77777777" w:rsidR="00361B54" w:rsidRPr="009D07D7" w:rsidRDefault="00F57BF7">
    <w:pPr>
      <w:pStyle w:val="Rodap"/>
      <w:jc w:val="right"/>
    </w:pPr>
    <w:r w:rsidRPr="009D07D7">
      <w:rPr>
        <w:noProof/>
        <w:lang w:eastAsia="pt-BR"/>
      </w:rPr>
      <w:drawing>
        <wp:anchor distT="0" distB="0" distL="114300" distR="114300" simplePos="0" relativeHeight="251657216" behindDoc="1" locked="0" layoutInCell="0" allowOverlap="1" wp14:anchorId="4340D3A4" wp14:editId="29041D56">
          <wp:simplePos x="0" y="0"/>
          <wp:positionH relativeFrom="column">
            <wp:posOffset>635</wp:posOffset>
          </wp:positionH>
          <wp:positionV relativeFrom="paragraph">
            <wp:posOffset>48260</wp:posOffset>
          </wp:positionV>
          <wp:extent cx="1605915" cy="453390"/>
          <wp:effectExtent l="0" t="0" r="0" b="0"/>
          <wp:wrapSquare wrapText="bothSides"/>
          <wp:docPr id="5"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sidRPr="009D07D7">
      <w:rPr>
        <w:noProof/>
        <w:lang w:eastAsia="pt-BR"/>
      </w:rPr>
      <w:drawing>
        <wp:inline distT="0" distB="0" distL="0" distR="0" wp14:anchorId="1DE62F28" wp14:editId="22ABCCE0">
          <wp:extent cx="1008380" cy="501650"/>
          <wp:effectExtent l="0" t="0" r="0" b="0"/>
          <wp:docPr id="6"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DAFB68" w14:textId="77777777" w:rsidR="004004FD" w:rsidRPr="009D07D7" w:rsidRDefault="004004FD">
      <w:r w:rsidRPr="009D07D7">
        <w:separator/>
      </w:r>
    </w:p>
  </w:footnote>
  <w:footnote w:type="continuationSeparator" w:id="0">
    <w:p w14:paraId="68266580" w14:textId="77777777" w:rsidR="004004FD" w:rsidRPr="009D07D7" w:rsidRDefault="004004FD">
      <w:r w:rsidRPr="009D07D7">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AAC67" w14:textId="77777777" w:rsidR="00361B54" w:rsidRPr="009D07D7" w:rsidRDefault="00361B54">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E3A74D" w14:textId="77777777" w:rsidR="00361B54" w:rsidRPr="009D07D7" w:rsidRDefault="00F57BF7">
    <w:pPr>
      <w:pStyle w:val="Cabealho"/>
    </w:pPr>
    <w:r w:rsidRPr="009D07D7">
      <w:rPr>
        <w:noProof/>
        <w:lang w:eastAsia="pt-BR"/>
      </w:rPr>
      <w:drawing>
        <wp:anchor distT="0" distB="0" distL="0" distR="0" simplePos="0" relativeHeight="251658240" behindDoc="0" locked="0" layoutInCell="0" allowOverlap="1" wp14:anchorId="1F0EC349" wp14:editId="1466918D">
          <wp:simplePos x="0" y="0"/>
          <wp:positionH relativeFrom="page">
            <wp:posOffset>180975</wp:posOffset>
          </wp:positionH>
          <wp:positionV relativeFrom="paragraph">
            <wp:posOffset>-8255</wp:posOffset>
          </wp:positionV>
          <wp:extent cx="7185660" cy="899160"/>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DE360" w14:textId="77777777" w:rsidR="00361B54" w:rsidRPr="009D07D7" w:rsidRDefault="00F57BF7">
    <w:pPr>
      <w:pStyle w:val="Cabealho"/>
    </w:pPr>
    <w:r w:rsidRPr="009D07D7">
      <w:rPr>
        <w:noProof/>
        <w:lang w:eastAsia="pt-BR"/>
      </w:rPr>
      <w:drawing>
        <wp:anchor distT="0" distB="0" distL="0" distR="0" simplePos="0" relativeHeight="251659264" behindDoc="0" locked="0" layoutInCell="0" allowOverlap="1" wp14:anchorId="7B20A1C9" wp14:editId="2DEB9F08">
          <wp:simplePos x="0" y="0"/>
          <wp:positionH relativeFrom="page">
            <wp:posOffset>180975</wp:posOffset>
          </wp:positionH>
          <wp:positionV relativeFrom="paragraph">
            <wp:posOffset>-8255</wp:posOffset>
          </wp:positionV>
          <wp:extent cx="7185660" cy="899160"/>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B54"/>
    <w:rsid w:val="00082C7F"/>
    <w:rsid w:val="001F55FF"/>
    <w:rsid w:val="00200E2F"/>
    <w:rsid w:val="0022457B"/>
    <w:rsid w:val="0023757E"/>
    <w:rsid w:val="002979AE"/>
    <w:rsid w:val="002C7800"/>
    <w:rsid w:val="00302B69"/>
    <w:rsid w:val="00361B54"/>
    <w:rsid w:val="00394DF9"/>
    <w:rsid w:val="003C696D"/>
    <w:rsid w:val="003D36B5"/>
    <w:rsid w:val="004004FD"/>
    <w:rsid w:val="004213CF"/>
    <w:rsid w:val="00487FC4"/>
    <w:rsid w:val="0049321C"/>
    <w:rsid w:val="004A16F8"/>
    <w:rsid w:val="0051321D"/>
    <w:rsid w:val="00536C75"/>
    <w:rsid w:val="005B363A"/>
    <w:rsid w:val="005D6694"/>
    <w:rsid w:val="005F0B7B"/>
    <w:rsid w:val="0062210D"/>
    <w:rsid w:val="006E5712"/>
    <w:rsid w:val="0074196E"/>
    <w:rsid w:val="0076142A"/>
    <w:rsid w:val="0077142D"/>
    <w:rsid w:val="00773F71"/>
    <w:rsid w:val="00775209"/>
    <w:rsid w:val="007827D0"/>
    <w:rsid w:val="007C3FAC"/>
    <w:rsid w:val="007C7B69"/>
    <w:rsid w:val="007D7A4B"/>
    <w:rsid w:val="00876824"/>
    <w:rsid w:val="008E38D3"/>
    <w:rsid w:val="0095670A"/>
    <w:rsid w:val="009D07D7"/>
    <w:rsid w:val="009D3872"/>
    <w:rsid w:val="009E0DF0"/>
    <w:rsid w:val="00A04973"/>
    <w:rsid w:val="00AB00D7"/>
    <w:rsid w:val="00AD0D32"/>
    <w:rsid w:val="00AF6051"/>
    <w:rsid w:val="00B20693"/>
    <w:rsid w:val="00B6546F"/>
    <w:rsid w:val="00B70054"/>
    <w:rsid w:val="00BB0293"/>
    <w:rsid w:val="00C52ED0"/>
    <w:rsid w:val="00D03597"/>
    <w:rsid w:val="00DC4278"/>
    <w:rsid w:val="00E53C0D"/>
    <w:rsid w:val="00E80498"/>
    <w:rsid w:val="00EC0F82"/>
    <w:rsid w:val="00F00FD1"/>
    <w:rsid w:val="00F3395A"/>
    <w:rsid w:val="00F47048"/>
    <w:rsid w:val="00F57BF7"/>
    <w:rsid w:val="00F8488A"/>
    <w:rsid w:val="00FF3CAA"/>
    <w:rsid w:val="00FF5CBA"/>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423F7"/>
  <w15:docId w15:val="{08F54547-6F5C-4A27-9497-DCA12472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rFonts w:ascii="Times New Roman" w:eastAsia="Times New Roman" w:hAnsi="Times New Roman" w:cs="Times New Roman"/>
      <w:lang w:val="pt-BR"/>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sid w:val="00DD5B38"/>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sid w:val="00B6766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B67667"/>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sid w:val="009C4B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sid w:val="00DD5B38"/>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67667"/>
    <w:pPr>
      <w:tabs>
        <w:tab w:val="center" w:pos="4252"/>
        <w:tab w:val="right" w:pos="8504"/>
      </w:tabs>
    </w:pPr>
  </w:style>
  <w:style w:type="paragraph" w:styleId="Rodap">
    <w:name w:val="footer"/>
    <w:basedOn w:val="Normal"/>
    <w:link w:val="RodapChar"/>
    <w:uiPriority w:val="99"/>
    <w:unhideWhenUsed/>
    <w:rsid w:val="00B67667"/>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customStyle="1" w:styleId="Default">
    <w:name w:val="Default"/>
    <w:rsid w:val="0049321C"/>
    <w:pPr>
      <w:spacing w:after="200" w:line="276" w:lineRule="auto"/>
    </w:pPr>
    <w:rPr>
      <w:rFonts w:ascii="Arial" w:eastAsia="Times New Roman" w:hAnsi="Arial" w:cs="Arial"/>
      <w:color w:val="000000"/>
      <w:sz w:val="24"/>
      <w:szCs w:val="24"/>
      <w:lang w:val="pt-BR" w:eastAsia="zh-CN"/>
    </w:rPr>
  </w:style>
  <w:style w:type="character" w:styleId="Hyperlink">
    <w:name w:val="Hyperlink"/>
    <w:basedOn w:val="Fontepargpadro"/>
    <w:uiPriority w:val="99"/>
    <w:unhideWhenUsed/>
    <w:rsid w:val="00AD0D32"/>
    <w:rPr>
      <w:color w:val="0000FF" w:themeColor="hyperlink"/>
      <w:u w:val="single"/>
    </w:rPr>
  </w:style>
  <w:style w:type="character" w:customStyle="1" w:styleId="UnresolvedMention">
    <w:name w:val="Unresolved Mention"/>
    <w:basedOn w:val="Fontepargpadro"/>
    <w:uiPriority w:val="99"/>
    <w:semiHidden/>
    <w:unhideWhenUsed/>
    <w:rsid w:val="00AD0D32"/>
    <w:rPr>
      <w:color w:val="605E5C"/>
      <w:shd w:val="clear" w:color="auto" w:fill="E1DFDD"/>
    </w:rPr>
  </w:style>
  <w:style w:type="character" w:customStyle="1" w:styleId="tlid-translation">
    <w:name w:val="tlid-translation"/>
    <w:rsid w:val="005B3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teiner@uems.b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56005-579A-4235-AF5B-92B312377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526</Words>
  <Characters>2842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Isabella Oliveira</cp:lastModifiedBy>
  <cp:revision>2</cp:revision>
  <cp:lastPrinted>2023-01-31T14:18:00Z</cp:lastPrinted>
  <dcterms:created xsi:type="dcterms:W3CDTF">2023-09-05T23:09:00Z</dcterms:created>
  <dcterms:modified xsi:type="dcterms:W3CDTF">2023-09-05T23:09:00Z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y fmtid="{D5CDD505-2E9C-101B-9397-08002B2CF9AE}" pid="5" name="GrammarlyDocumentId">
    <vt:lpwstr>8f383b4b5afe9b062d580467c323eef660e43cafe626ad27acf78a6f90eb19c5</vt:lpwstr>
  </property>
</Properties>
</file>