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0"/>
        <w:ind w:left="-5" w:hanging="10"/>
        <w:jc w:val="center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Resposta da cana-de-açúcar à inoculação de </w:t>
      </w:r>
      <w:r>
        <w:rPr>
          <w:b/>
          <w:bCs/>
          <w:i/>
          <w:iCs/>
          <w:sz w:val="32"/>
          <w:szCs w:val="32"/>
        </w:rPr>
        <w:t xml:space="preserve">Azospirillum brasilense </w:t>
      </w:r>
      <w:r>
        <w:rPr>
          <w:b/>
          <w:bCs/>
          <w:sz w:val="32"/>
          <w:szCs w:val="32"/>
        </w:rPr>
        <w:t>como bactéria solubilizadora de fosfato em solos de baixa e alta disponibilidade de fósforo e adubados com fertilizantes minerais e orgânicos</w:t>
      </w:r>
    </w:p>
    <w:p>
      <w:pPr>
        <w:pStyle w:val="Corpodotexto"/>
        <w:spacing w:before="9" w:after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otexto"/>
        <w:spacing w:before="9" w:after="0"/>
        <w:jc w:val="both"/>
        <w:rPr/>
      </w:pPr>
      <w:r>
        <w:rPr>
          <w:b/>
          <w:bCs/>
        </w:rPr>
        <w:t>Instituição:</w:t>
      </w:r>
      <w:r>
        <w:rPr/>
        <w:t xml:space="preserve"> Universidade Estadual de Mato Grosso do Sul/UUC </w:t>
      </w:r>
    </w:p>
    <w:p>
      <w:pPr>
        <w:pStyle w:val="Corpodotexto"/>
        <w:spacing w:before="9" w:after="0"/>
        <w:jc w:val="both"/>
        <w:rPr/>
      </w:pPr>
      <w:r>
        <w:rPr/>
      </w:r>
    </w:p>
    <w:p>
      <w:pPr>
        <w:pStyle w:val="Corpodotexto"/>
        <w:spacing w:before="9" w:after="0"/>
        <w:jc w:val="both"/>
        <w:rPr>
          <w:b/>
          <w:b/>
          <w:bCs/>
        </w:rPr>
      </w:pPr>
      <w:r>
        <w:rPr>
          <w:b/>
          <w:bCs/>
        </w:rPr>
        <w:t>Área temática:</w:t>
      </w:r>
      <w:r>
        <w:rPr/>
        <w:t xml:space="preserve"> Ciência Agrária – Agronomia/Fitotecnia</w:t>
      </w:r>
    </w:p>
    <w:p>
      <w:pPr>
        <w:pStyle w:val="Corpodotexto"/>
        <w:spacing w:before="9" w:after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Corpodotexto"/>
        <w:spacing w:before="9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FERREIRA</w:t>
      </w:r>
      <w:r>
        <w:rPr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Laura Martins</w:t>
      </w:r>
      <w:r>
        <w:rPr>
          <w:b/>
          <w:bCs/>
          <w:sz w:val="20"/>
          <w:szCs w:val="20"/>
        </w:rPr>
        <w:t>¹ (</w:t>
      </w:r>
      <w:hyperlink r:id="rId2">
        <w:r>
          <w:rPr>
            <w:rStyle w:val="LinkdaInternet"/>
            <w:sz w:val="20"/>
            <w:szCs w:val="20"/>
          </w:rPr>
          <w:t>lauramartinsferreira45@gmail.com</w:t>
        </w:r>
      </w:hyperlink>
      <w:r>
        <w:rPr>
          <w:sz w:val="20"/>
          <w:szCs w:val="20"/>
          <w:lang w:eastAsia="pt-BR"/>
        </w:rPr>
        <w:t xml:space="preserve">); </w:t>
      </w:r>
      <w:r>
        <w:rPr>
          <w:b/>
          <w:bCs/>
          <w:sz w:val="20"/>
          <w:szCs w:val="20"/>
          <w:lang w:eastAsia="pt-BR"/>
        </w:rPr>
        <w:t>ALVES</w:t>
      </w:r>
      <w:r>
        <w:rPr>
          <w:sz w:val="20"/>
          <w:szCs w:val="20"/>
          <w:lang w:eastAsia="pt-BR"/>
        </w:rPr>
        <w:t xml:space="preserve">, </w:t>
      </w:r>
      <w:r>
        <w:rPr>
          <w:sz w:val="20"/>
          <w:szCs w:val="20"/>
        </w:rPr>
        <w:t>Vitória Carolina Dantas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 (</w:t>
      </w:r>
      <w:hyperlink r:id="rId3">
        <w:r>
          <w:rPr>
            <w:rStyle w:val="LinkdaInternet"/>
            <w:sz w:val="20"/>
            <w:szCs w:val="20"/>
          </w:rPr>
          <w:t>dantasalvesv@gmail.com</w:t>
        </w:r>
      </w:hyperlink>
      <w:r>
        <w:rPr>
          <w:sz w:val="20"/>
          <w:szCs w:val="20"/>
        </w:rPr>
        <w:t>); SALLES, Jussara Souza</w:t>
      </w:r>
      <w:r>
        <w:rPr>
          <w:sz w:val="20"/>
          <w:szCs w:val="20"/>
          <w:vertAlign w:val="superscript"/>
        </w:rPr>
        <w:t>1</w:t>
      </w:r>
      <w:r>
        <w:rPr>
          <w:sz w:val="20"/>
          <w:szCs w:val="20"/>
        </w:rPr>
        <w:t xml:space="preserve">(jus_sarasalles@hotmail.com); </w:t>
      </w:r>
      <w:r>
        <w:rPr>
          <w:b/>
          <w:bCs/>
          <w:sz w:val="20"/>
          <w:szCs w:val="20"/>
        </w:rPr>
        <w:t>SILVA</w:t>
      </w:r>
      <w:r>
        <w:rPr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>
        <w:rPr>
          <w:sz w:val="20"/>
          <w:szCs w:val="20"/>
        </w:rPr>
        <w:t>Fagner Luiz Rodrigues</w:t>
      </w: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>(</w:t>
      </w:r>
      <w:hyperlink r:id="rId4">
        <w:r>
          <w:rPr>
            <w:rStyle w:val="LinkdaInternet"/>
            <w:sz w:val="20"/>
            <w:szCs w:val="20"/>
            <w:lang w:eastAsia="pt-BR"/>
          </w:rPr>
          <w:t>fagnerluis98@gmail.com</w:t>
        </w:r>
      </w:hyperlink>
      <w:r>
        <w:rPr>
          <w:rStyle w:val="LinkdaInternet"/>
          <w:color w:val="auto"/>
          <w:sz w:val="20"/>
          <w:szCs w:val="20"/>
          <w:lang w:eastAsia="pt-BR"/>
        </w:rPr>
        <w:t>);</w:t>
      </w:r>
      <w:r>
        <w:rPr>
          <w:sz w:val="20"/>
          <w:szCs w:val="20"/>
        </w:rPr>
        <w:t xml:space="preserve"> STEINER, Fábio</w:t>
      </w:r>
      <w:r>
        <w:rPr>
          <w:sz w:val="20"/>
          <w:szCs w:val="20"/>
          <w:vertAlign w:val="superscript"/>
        </w:rPr>
        <w:t xml:space="preserve">2 </w:t>
      </w:r>
      <w:r>
        <w:rPr>
          <w:sz w:val="20"/>
          <w:szCs w:val="20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page">
              <wp:posOffset>8255</wp:posOffset>
            </wp:positionH>
            <wp:positionV relativeFrom="page">
              <wp:posOffset>0</wp:posOffset>
            </wp:positionV>
            <wp:extent cx="7550150" cy="1075055"/>
            <wp:effectExtent l="0" t="0" r="0" b="0"/>
            <wp:wrapTopAndBottom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0" cy="1075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0" allowOverlap="1" relativeHeight="3">
            <wp:simplePos x="0" y="0"/>
            <wp:positionH relativeFrom="page">
              <wp:posOffset>1995805</wp:posOffset>
            </wp:positionH>
            <wp:positionV relativeFrom="page">
              <wp:posOffset>9770745</wp:posOffset>
            </wp:positionV>
            <wp:extent cx="3569970" cy="918210"/>
            <wp:effectExtent l="0" t="0" r="0" b="0"/>
            <wp:wrapTopAndBottom/>
            <wp:docPr id="2" name="Picture 6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970" cy="918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(steiner@uems.br). 1Discente do curso de Agronomia da UEMS – Cassilândia; 2Docente do curso de Agronomia da UEMS – Cassilândia.</w:t>
      </w:r>
    </w:p>
    <w:p>
      <w:pPr>
        <w:pStyle w:val="Textodocorpo2"/>
        <w:spacing w:lineRule="auto" w:line="240"/>
        <w:jc w:val="both"/>
        <w:rPr>
          <w:rFonts w:ascii="Times New Roman" w:hAnsi="Times New Roman" w:cs="Times New Roman"/>
          <w:bCs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RESUMO</w:t>
      </w:r>
      <w:bookmarkStart w:id="0" w:name="_Hlk81217843"/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: </w:t>
      </w:r>
      <w:r>
        <w:rPr>
          <w:rFonts w:cs="Times New Roman" w:ascii="Times New Roman" w:hAnsi="Times New Roman"/>
          <w:bCs/>
          <w:i w:val="false"/>
          <w:iCs w:val="false"/>
          <w:sz w:val="24"/>
          <w:szCs w:val="24"/>
        </w:rPr>
        <w:t>O Brasil é o maior produtor de cana-de-açúcar (</w:t>
      </w:r>
      <w:r>
        <w:rPr>
          <w:rFonts w:cs="Times New Roman" w:ascii="Times New Roman" w:hAnsi="Times New Roman"/>
          <w:bCs/>
          <w:sz w:val="24"/>
          <w:szCs w:val="24"/>
        </w:rPr>
        <w:t>Saccharum</w:t>
      </w:r>
      <w:r>
        <w:rPr>
          <w:rFonts w:cs="Times New Roman" w:ascii="Times New Roman" w:hAnsi="Times New Roman"/>
          <w:bCs/>
          <w:i w:val="false"/>
          <w:iCs w:val="false"/>
          <w:sz w:val="24"/>
          <w:szCs w:val="24"/>
        </w:rPr>
        <w:t xml:space="preserve"> spp.) do mundo sendo uma cultura de grande importância para o agronegócio brasileiro entando intimamente relacionada a produção de biocombustíveis, açúcar e a utilização de seus subprodutos para a produção de bioenergia. A elevada produtuvidade entretanto, é dependente de grande quantidade de fertilizantes minerais principalmente os fertilizantes fosfatados devendo-se a alta capacidade de fixação de fósforo (P) no solo não tornando-o disponível para às plantas. A utilização de bactérias solubilizadoras de fosfato (PSB) é vista como uma estratégia para aumentar a disponibilidade de P, visto que apresentam capacidade de solubilizar e mineralizar diferentes fontes de P no solo entre eles os subprodutos provenientes do setor sucroenergético. A preocupação com o destino final dos subprodutos oriundo do setor sucroenergéticos tem impulsionado à sua utilização para o cultivo da própria cana-de-açúcar e reduzir os custos com fertilizantes minerais. Um dos componentes utilizados na produção de cana-de-açúcar é a torta de filtro na qual apresenta teores variados de nitrogênio, fósforo e potássio e quando aplicados no sulco de plantio pode substituir parcialmente a adubação mineral na cultura da cana de açúcar. Com base nas informações relatadas, o objetivo do presente trabalho foi avaliar a eficiência da inoculação das mudas pré-brotadas com </w:t>
      </w:r>
      <w:r>
        <w:rPr>
          <w:rFonts w:cs="Times New Roman" w:ascii="Times New Roman" w:hAnsi="Times New Roman"/>
          <w:bCs/>
          <w:sz w:val="24"/>
          <w:szCs w:val="24"/>
        </w:rPr>
        <w:t>Azospirillum brasilense</w:t>
      </w:r>
      <w:r>
        <w:rPr>
          <w:rFonts w:cs="Times New Roman" w:ascii="Times New Roman" w:hAnsi="Times New Roman"/>
          <w:bCs/>
          <w:i w:val="false"/>
          <w:iCs w:val="false"/>
          <w:sz w:val="24"/>
          <w:szCs w:val="24"/>
        </w:rPr>
        <w:t xml:space="preserve"> no crescimento e desenvolvimento da cana-de-açúcar cultivadas em solos com alta e baixa disponibilidade de P e submetidas a adubação mineral e orgânica. O delineamento experimental utilizado foi o de blocos ao acaso, disposto em esquema fatorial 2 x 2 x 2 com quatro repetições. O primeiro fator foi constituído por dois tratamentos de inoculação [ sem inoculação (controle), e com inoculação das mudas com </w:t>
      </w:r>
      <w:r>
        <w:rPr>
          <w:rFonts w:cs="Times New Roman" w:ascii="Times New Roman" w:hAnsi="Times New Roman"/>
          <w:bCs/>
          <w:sz w:val="24"/>
          <w:szCs w:val="24"/>
        </w:rPr>
        <w:t>Azospirillum brasilense</w:t>
      </w:r>
      <w:r>
        <w:rPr>
          <w:rFonts w:cs="Times New Roman" w:ascii="Times New Roman" w:hAnsi="Times New Roman"/>
          <w:bCs/>
          <w:i w:val="false"/>
          <w:iCs w:val="false"/>
          <w:sz w:val="24"/>
          <w:szCs w:val="24"/>
        </w:rPr>
        <w:t>]. E o segundo fator foi constituído por dois sistemas de manejo de adubação [adubação mineral e adubação orgânica], em solos com alta e baixa disponibilidade de P. As avaliações realizadas foram altura de plantas (AP), diâmetro do colmo (DC), número de folhas por perfilho (NF), número de perfilhos por planta (NP) e matéria seca total (MST). A inoculação das mudas pré-brotadas de cana-de-açúcar não influenciou nos parâmtros avaliados, a utilização da torta de filtro como fonte de adubo orgânico pode ser realizada desde que se empregue a adubação mineral como complementação.</w:t>
      </w:r>
      <w:bookmarkEnd w:id="0"/>
    </w:p>
    <w:p>
      <w:pPr>
        <w:pStyle w:val="Normal"/>
        <w:ind w:left="-5" w:hanging="10"/>
        <w:rPr/>
      </w:pPr>
      <w:r>
        <w:rPr>
          <w:b/>
        </w:rPr>
        <w:t>PALAVRAS-CHAVE:</w:t>
      </w:r>
      <w:r>
        <w:rPr/>
        <w:t xml:space="preserve"> </w:t>
      </w:r>
      <w:r>
        <w:rPr>
          <w:szCs w:val="24"/>
        </w:rPr>
        <w:t xml:space="preserve">Azospirillum brasilense, bactérias solubilizadoras de fosfato, </w:t>
      </w:r>
      <w:r>
        <w:rPr>
          <w:i/>
          <w:iCs/>
          <w:szCs w:val="24"/>
        </w:rPr>
        <w:t xml:space="preserve">Saccharum </w:t>
      </w:r>
      <w:r>
        <w:rPr>
          <w:szCs w:val="24"/>
        </w:rPr>
        <w:t>spp.</w:t>
      </w:r>
    </w:p>
    <w:p>
      <w:pPr>
        <w:pStyle w:val="Normal"/>
        <w:spacing w:before="0" w:after="10"/>
        <w:ind w:left="-5" w:hanging="10"/>
        <w:rPr/>
      </w:pPr>
      <w:r>
        <w:rPr>
          <w:b/>
        </w:rPr>
        <w:t>AGRADECIMENTOS:</w:t>
      </w:r>
      <w:r>
        <w:rPr/>
        <w:t xml:space="preserve"> O presente trabalho foi realizado com apoio da UEMS, Programa Institucional de Iniciação Científica - PIC/UEMS.</w:t>
      </w:r>
    </w:p>
    <w:p>
      <w:pPr>
        <w:pStyle w:val="Normal"/>
        <w:spacing w:lineRule="auto" w:line="237" w:before="0" w:after="3"/>
        <w:ind w:left="-5" w:right="-2" w:hanging="10"/>
        <w:rPr/>
      </w:pPr>
      <w:r>
        <w:rPr/>
      </w:r>
    </w:p>
    <w:p>
      <w:pPr>
        <w:pStyle w:val="Normal"/>
        <w:spacing w:lineRule="auto" w:line="237" w:before="0" w:after="3"/>
        <w:ind w:left="-5" w:right="-2" w:hanging="10"/>
        <w:rPr/>
      </w:pPr>
      <w:r>
        <w:rPr/>
      </w:r>
    </w:p>
    <w:sectPr>
      <w:type w:val="nextPage"/>
      <w:pgSz w:w="11906" w:h="16838"/>
      <w:pgMar w:left="1136" w:right="1132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47" w:before="0" w:after="242"/>
      <w:ind w:left="10" w:hanging="10"/>
      <w:jc w:val="both"/>
    </w:pPr>
    <w:rPr>
      <w:rFonts w:ascii="Times New Roman" w:hAnsi="Times New Roman" w:eastAsia="Times New Roman" w:cs="Times New Roman"/>
      <w:color w:val="000000"/>
      <w:kern w:val="0"/>
      <w:sz w:val="24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uiPriority w:val="1"/>
    <w:qFormat/>
    <w:rsid w:val="001b0ea4"/>
    <w:rPr>
      <w:rFonts w:ascii="Times New Roman" w:hAnsi="Times New Roman" w:eastAsia="Times New Roman" w:cs="Times New Roman"/>
      <w:sz w:val="24"/>
      <w:szCs w:val="24"/>
      <w:lang w:val="pt-PT" w:eastAsia="en-US"/>
    </w:rPr>
  </w:style>
  <w:style w:type="character" w:styleId="LinkdaInternet">
    <w:name w:val="Link da Internet"/>
    <w:basedOn w:val="DefaultParagraphFont"/>
    <w:uiPriority w:val="99"/>
    <w:unhideWhenUsed/>
    <w:rsid w:val="001b0ea4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0369a1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0369a1"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0369a1"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f5ec7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1b0ea4"/>
    <w:pPr>
      <w:widowControl w:val="false"/>
      <w:spacing w:lineRule="auto" w:line="240" w:before="0" w:after="0"/>
      <w:ind w:left="0" w:hanging="0"/>
      <w:jc w:val="left"/>
    </w:pPr>
    <w:rPr>
      <w:color w:val="auto"/>
      <w:szCs w:val="24"/>
      <w:lang w:val="pt-PT" w:eastAsia="en-US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Default" w:customStyle="1">
    <w:name w:val="Default"/>
    <w:qFormat/>
    <w:rsid w:val="001b0ea4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 w:eastAsiaTheme="minorHAnsi"/>
      <w:color w:val="000000"/>
      <w:kern w:val="0"/>
      <w:sz w:val="24"/>
      <w:szCs w:val="24"/>
      <w:lang w:eastAsia="en-US" w:val="pt-BR" w:bidi="ar-SA"/>
    </w:rPr>
  </w:style>
  <w:style w:type="paragraph" w:styleId="Textodocorpo2" w:customStyle="1">
    <w:name w:val="Texto do corpo (2)"/>
    <w:basedOn w:val="Normal"/>
    <w:qFormat/>
    <w:rsid w:val="001b0ea4"/>
    <w:pPr>
      <w:widowControl w:val="false"/>
      <w:shd w:val="clear" w:color="auto" w:fill="FFFFFF"/>
      <w:suppressAutoHyphens w:val="true"/>
      <w:spacing w:lineRule="exact" w:line="355" w:before="120" w:after="360"/>
      <w:ind w:left="0" w:hanging="0"/>
      <w:jc w:val="left"/>
    </w:pPr>
    <w:rPr>
      <w:rFonts w:ascii="Arial" w:hAnsi="Arial" w:cs="Arial"/>
      <w:i/>
      <w:iCs/>
      <w:color w:val="auto"/>
      <w:sz w:val="15"/>
      <w:szCs w:val="15"/>
      <w:lang w:val="pt-PT" w:eastAsia="zh-CN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0369a1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0369a1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martinsferreira45@gmail.com" TargetMode="External"/><Relationship Id="rId3" Type="http://schemas.openxmlformats.org/officeDocument/2006/relationships/hyperlink" Target="mailto:dantasalvesv@gmail.com" TargetMode="External"/><Relationship Id="rId4" Type="http://schemas.openxmlformats.org/officeDocument/2006/relationships/hyperlink" Target="mailto:fagnerluis98@gmail.com" TargetMode="Externa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1</Pages>
  <Words>473</Words>
  <Characters>2896</Characters>
  <CharactersWithSpaces>3365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2022-09-14T23:26:00Z</dcterms:created>
  <dc:creator>Leticia Horbach Gonçalves</dc:creator>
  <dc:description/>
  <dc:language>pt-BR</dc:language>
  <cp:lastModifiedBy>Laura</cp:lastModifiedBy>
  <dcterms:modified xsi:type="dcterms:W3CDTF">2022-09-16T00:10:00Z</dcterms:modified>
  <cp:revision>10</cp:revision>
  <dc:subject/>
  <dc:title>A QUÍMICA DOS AROMAS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