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NOVO COMPLEXO ENTRE A ANTRAQUINONA ALIZARINA E METAL ALCALINO LÍTIO: SÍNTESE E CARACTERIZAÇÃO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BUENO, Daniela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 xml:space="preserve">1 </w:t>
      </w:r>
      <w:r>
        <w:rPr>
          <w:rFonts w:cs="Times New Roman" w:ascii="Times New Roman" w:hAnsi="Times New Roman"/>
          <w:sz w:val="24"/>
          <w:szCs w:val="24"/>
        </w:rPr>
        <w:t>(</w:t>
      </w:r>
      <w:hyperlink r:id="rId2">
        <w:r>
          <w:rPr>
            <w:rStyle w:val="LinkdaInternet"/>
            <w:rFonts w:cs="Times New Roman" w:ascii="Times New Roman" w:hAnsi="Times New Roman"/>
            <w:sz w:val="24"/>
            <w:szCs w:val="24"/>
          </w:rPr>
          <w:t>daniela_whore@outlook.com</w:t>
        </w:r>
      </w:hyperlink>
      <w:r>
        <w:rPr>
          <w:rFonts w:cs="Times New Roman" w:ascii="Times New Roman" w:hAnsi="Times New Roman"/>
          <w:sz w:val="24"/>
          <w:szCs w:val="24"/>
        </w:rPr>
        <w:t>);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NASCIMENTO, João Paulo da Cruz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sz w:val="24"/>
          <w:szCs w:val="24"/>
        </w:rPr>
        <w:t xml:space="preserve"> (</w:t>
      </w:r>
      <w:hyperlink r:id="rId3">
        <w:r>
          <w:rPr>
            <w:rStyle w:val="LinkdaInternet"/>
            <w:rFonts w:cs="Times New Roman" w:ascii="Times New Roman" w:hAnsi="Times New Roman"/>
            <w:sz w:val="24"/>
            <w:szCs w:val="24"/>
          </w:rPr>
          <w:t>jpcn2020@hotmail.com</w:t>
        </w:r>
      </w:hyperlink>
      <w:r>
        <w:rPr>
          <w:rFonts w:cs="Times New Roman" w:ascii="Times New Roman" w:hAnsi="Times New Roman"/>
          <w:sz w:val="24"/>
          <w:szCs w:val="24"/>
        </w:rPr>
        <w:t xml:space="preserve">); </w:t>
      </w:r>
      <w:r>
        <w:rPr>
          <w:rFonts w:cs="Times New Roman" w:ascii="Times New Roman" w:hAnsi="Times New Roman"/>
          <w:b/>
          <w:bCs/>
          <w:sz w:val="24"/>
          <w:szCs w:val="24"/>
        </w:rPr>
        <w:t>CARVALHO, Silas Helede de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sz w:val="24"/>
          <w:szCs w:val="24"/>
        </w:rPr>
        <w:t xml:space="preserve"> (silascarvalho1995@gmail.com);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CABEZA, Natália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</w:t>
      </w:r>
      <w:hyperlink r:id="rId4">
        <w:r>
          <w:rPr>
            <w:rStyle w:val="LinkdaInternet"/>
            <w:rFonts w:cs="Times New Roman" w:ascii="Times New Roman" w:hAnsi="Times New Roman"/>
            <w:sz w:val="24"/>
            <w:szCs w:val="24"/>
          </w:rPr>
          <w:t>naty.ander@hotmail.com</w:t>
        </w:r>
      </w:hyperlink>
      <w:r>
        <w:rPr>
          <w:rFonts w:cs="Times New Roman" w:ascii="Times New Roman" w:hAnsi="Times New Roman"/>
          <w:sz w:val="24"/>
          <w:szCs w:val="24"/>
        </w:rPr>
        <w:t xml:space="preserve">); </w:t>
      </w:r>
      <w:r>
        <w:rPr>
          <w:rFonts w:cs="Times New Roman" w:ascii="Times New Roman" w:hAnsi="Times New Roman"/>
          <w:b/>
          <w:bCs/>
          <w:sz w:val="24"/>
          <w:szCs w:val="24"/>
        </w:rPr>
        <w:t>ANJOS, Ademir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3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</w:t>
      </w:r>
      <w:hyperlink r:id="rId5">
        <w:r>
          <w:rPr>
            <w:rStyle w:val="LinkdaInternet"/>
            <w:rFonts w:cs="Times New Roman" w:ascii="Times New Roman" w:hAnsi="Times New Roman"/>
            <w:sz w:val="24"/>
            <w:szCs w:val="24"/>
          </w:rPr>
          <w:t>piu_floripa@uems.br</w:t>
        </w:r>
      </w:hyperlink>
      <w:r>
        <w:rPr>
          <w:rFonts w:cs="Times New Roman" w:ascii="Times New Roman" w:hAnsi="Times New Roman"/>
          <w:sz w:val="24"/>
          <w:szCs w:val="24"/>
        </w:rPr>
        <w:t xml:space="preserve">).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  <w:vertAlign w:val="superscript"/>
        </w:rPr>
        <w:t xml:space="preserve">1 </w:t>
      </w:r>
      <w:r>
        <w:rPr>
          <w:rFonts w:cs="Times New Roman" w:ascii="Times New Roman" w:hAnsi="Times New Roman"/>
          <w:sz w:val="20"/>
          <w:szCs w:val="20"/>
        </w:rPr>
        <w:t>Discente do curso de Licenciatura em Química da UEMS – Naviraí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 xml:space="preserve">2 </w:t>
      </w:r>
      <w:r>
        <w:rPr>
          <w:rFonts w:cs="Times New Roman" w:ascii="Times New Roman" w:hAnsi="Times New Roman"/>
          <w:sz w:val="20"/>
          <w:szCs w:val="20"/>
        </w:rPr>
        <w:t>Discente do Programa de Pós-Graduação em Recursos Naturais da UEMS - Naviraí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3</w:t>
      </w:r>
      <w:r>
        <w:rPr>
          <w:rFonts w:cs="Times New Roman" w:ascii="Times New Roman" w:hAnsi="Times New Roman"/>
          <w:sz w:val="20"/>
          <w:szCs w:val="20"/>
        </w:rPr>
        <w:t xml:space="preserve"> Docente da Licenciatura em Química da UEMS – Naviraí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32"/>
        </w:rPr>
      </w:pPr>
      <w:r>
        <w:rPr>
          <w:rFonts w:cs="Times New Roman" w:ascii="Times New Roman" w:hAnsi="Times New Roman"/>
          <w:sz w:val="24"/>
          <w:szCs w:val="32"/>
        </w:rPr>
        <w:t xml:space="preserve">As antraquinonas são substâncias naturais, bastante utilizadas em fins medicinais, tecnológicos, industriais e laboratoriais, sendo aplicadas em vários campos das ciências como drogas e agentes antineoplásicos, componentes em sensores ópticos, corantes/indicadores, entre outros. As interações desses compostos com os diferentes íons metálicos visam melhorar, ou mesmo obter, novas propriedades biológicas e/ou tecnológicas para os mesmos. A alizarina (1,2-di-hidroxi-9,10-antraquinona) é um corante natural com bastante destaque, seja na cultura popular, indústria ou na comunidade científica. </w:t>
      </w:r>
      <w:r>
        <w:rPr>
          <w:rFonts w:cs="Times New Roman" w:ascii="Times New Roman" w:hAnsi="Times New Roman"/>
          <w:b/>
          <w:sz w:val="24"/>
          <w:szCs w:val="32"/>
          <w:u w:val="single"/>
        </w:rPr>
        <w:t>Objetivos</w:t>
      </w:r>
      <w:r>
        <w:rPr>
          <w:rFonts w:cs="Times New Roman" w:ascii="Times New Roman" w:hAnsi="Times New Roman"/>
          <w:b/>
          <w:sz w:val="24"/>
          <w:szCs w:val="32"/>
        </w:rPr>
        <w:t>:</w:t>
      </w:r>
      <w:r>
        <w:rPr>
          <w:rFonts w:cs="Times New Roman" w:ascii="Times New Roman" w:hAnsi="Times New Roman"/>
          <w:sz w:val="24"/>
          <w:szCs w:val="32"/>
        </w:rPr>
        <w:t xml:space="preserve"> O presente trabalho foca nas síntese e caracterização físico-química do complexo entre a antraquinona alizarina e o metal alcalino Li</w:t>
      </w:r>
      <w:r>
        <w:rPr>
          <w:rFonts w:cs="Times New Roman" w:ascii="Times New Roman" w:hAnsi="Times New Roman"/>
          <w:sz w:val="24"/>
          <w:szCs w:val="32"/>
          <w:vertAlign w:val="superscript"/>
        </w:rPr>
        <w:t>+</w:t>
      </w:r>
      <w:r>
        <w:rPr>
          <w:rFonts w:cs="Times New Roman" w:ascii="Times New Roman" w:hAnsi="Times New Roman"/>
          <w:sz w:val="24"/>
          <w:szCs w:val="32"/>
        </w:rPr>
        <w:t xml:space="preserve">. </w:t>
      </w:r>
      <w:r>
        <w:rPr>
          <w:rFonts w:cs="Times New Roman" w:ascii="Times New Roman" w:hAnsi="Times New Roman"/>
          <w:b/>
          <w:sz w:val="24"/>
          <w:szCs w:val="32"/>
          <w:u w:val="single"/>
        </w:rPr>
        <w:t>Metodologia:</w:t>
      </w:r>
      <w:r>
        <w:rPr>
          <w:rFonts w:cs="Times New Roman" w:ascii="Times New Roman" w:hAnsi="Times New Roman"/>
          <w:sz w:val="24"/>
          <w:szCs w:val="32"/>
        </w:rPr>
        <w:t xml:space="preserve"> O composto foi obtido através da reação entre a alizarina e sal hidróxido de lítio, utilizando CH</w:t>
      </w:r>
      <w:r>
        <w:rPr>
          <w:rFonts w:cs="Times New Roman" w:ascii="Times New Roman" w:hAnsi="Times New Roman"/>
          <w:sz w:val="24"/>
          <w:szCs w:val="32"/>
          <w:vertAlign w:val="subscript"/>
        </w:rPr>
        <w:t>3</w:t>
      </w:r>
      <w:r>
        <w:rPr>
          <w:rFonts w:cs="Times New Roman" w:ascii="Times New Roman" w:hAnsi="Times New Roman"/>
          <w:sz w:val="24"/>
          <w:szCs w:val="32"/>
        </w:rPr>
        <w:t xml:space="preserve">CN como solvente. A mistura reacional foi mantida em agitação e refluxo durante 2 horas com temperatura variando de 80 a 90 °C. Obteve-se um pó de coloração roxa, com rendimento de 55%. </w:t>
      </w:r>
      <w:r>
        <w:rPr>
          <w:rFonts w:cs="Times New Roman" w:ascii="Times New Roman" w:hAnsi="Times New Roman"/>
          <w:b/>
          <w:sz w:val="24"/>
          <w:szCs w:val="32"/>
        </w:rPr>
        <w:t xml:space="preserve"> Resultados e discussão:</w:t>
      </w:r>
      <w:r>
        <w:rPr>
          <w:rFonts w:cs="Times New Roman" w:ascii="Times New Roman" w:hAnsi="Times New Roman"/>
          <w:sz w:val="24"/>
          <w:szCs w:val="32"/>
        </w:rPr>
        <w:t xml:space="preserve"> As diferenças de ponto de fusão e solubilidade foram os primeiros indicativos da síntese do complexo, a antraquinona natural apresenta ponto de fusão de 284 ºC o que difere do composto formado que apresenta um elevado ponto de fusão &gt;360 ºC.  Já solubilidade apresentou ligeiras aliterações quando comparada o ligante e o composto. Através da análise elementar de CHN pode-se propor a fórmula molecular de Li</w:t>
      </w:r>
      <w:r>
        <w:rPr>
          <w:rFonts w:cs="Times New Roman" w:ascii="Times New Roman" w:hAnsi="Times New Roman"/>
          <w:sz w:val="24"/>
          <w:szCs w:val="32"/>
          <w:vertAlign w:val="subscript"/>
        </w:rPr>
        <w:t>2</w:t>
      </w:r>
      <w:r>
        <w:rPr>
          <w:rFonts w:cs="Times New Roman" w:ascii="Times New Roman" w:hAnsi="Times New Roman"/>
          <w:sz w:val="24"/>
          <w:szCs w:val="32"/>
        </w:rPr>
        <w:t>C</w:t>
      </w:r>
      <w:r>
        <w:rPr>
          <w:rFonts w:cs="Times New Roman" w:ascii="Times New Roman" w:hAnsi="Times New Roman"/>
          <w:sz w:val="24"/>
          <w:szCs w:val="32"/>
          <w:vertAlign w:val="subscript"/>
        </w:rPr>
        <w:t>28</w:t>
      </w:r>
      <w:r>
        <w:rPr>
          <w:rFonts w:cs="Times New Roman" w:ascii="Times New Roman" w:hAnsi="Times New Roman"/>
          <w:sz w:val="24"/>
          <w:szCs w:val="32"/>
        </w:rPr>
        <w:t>H</w:t>
      </w:r>
      <w:r>
        <w:rPr>
          <w:rFonts w:cs="Times New Roman" w:ascii="Times New Roman" w:hAnsi="Times New Roman"/>
          <w:sz w:val="24"/>
          <w:szCs w:val="32"/>
          <w:vertAlign w:val="subscript"/>
        </w:rPr>
        <w:t>22</w:t>
      </w:r>
      <w:r>
        <w:rPr>
          <w:rFonts w:cs="Times New Roman" w:ascii="Times New Roman" w:hAnsi="Times New Roman"/>
          <w:sz w:val="24"/>
          <w:szCs w:val="32"/>
        </w:rPr>
        <w:t>0</w:t>
      </w:r>
      <w:r>
        <w:rPr>
          <w:rFonts w:cs="Times New Roman" w:ascii="Times New Roman" w:hAnsi="Times New Roman"/>
          <w:sz w:val="24"/>
          <w:szCs w:val="32"/>
          <w:vertAlign w:val="subscript"/>
        </w:rPr>
        <w:t>13</w:t>
      </w:r>
      <w:r>
        <w:rPr>
          <w:rFonts w:cs="Times New Roman" w:ascii="Times New Roman" w:hAnsi="Times New Roman"/>
          <w:sz w:val="24"/>
          <w:szCs w:val="32"/>
        </w:rPr>
        <w:t xml:space="preserve"> com massa molar de 587,15 g.mol</w:t>
      </w:r>
      <w:r>
        <w:rPr>
          <w:rFonts w:cs="Times New Roman" w:ascii="Times New Roman" w:hAnsi="Times New Roman"/>
          <w:sz w:val="24"/>
          <w:szCs w:val="32"/>
          <w:vertAlign w:val="superscript"/>
        </w:rPr>
        <w:t>-1</w:t>
      </w:r>
      <w:r>
        <w:rPr>
          <w:rFonts w:cs="Times New Roman" w:ascii="Times New Roman" w:hAnsi="Times New Roman"/>
          <w:sz w:val="24"/>
          <w:szCs w:val="32"/>
        </w:rPr>
        <w:t xml:space="preserve">.  O espectro na região do infravermelho 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32"/>
        </w:rPr>
        <w:t xml:space="preserve">evidencia algumas modificações notáveis quando relacionadas ao ligante </w:t>
      </w:r>
      <w:r>
        <w:rPr>
          <w:rFonts w:cs="Times New Roman" w:ascii="Times New Roman" w:hAnsi="Times New Roman"/>
          <w:i/>
          <w:sz w:val="24"/>
          <w:szCs w:val="32"/>
        </w:rPr>
        <w:t xml:space="preserve">in natura, </w:t>
      </w:r>
      <w:r>
        <w:rPr>
          <w:rFonts w:cs="Times New Roman" w:ascii="Times New Roman" w:hAnsi="Times New Roman"/>
          <w:sz w:val="24"/>
          <w:szCs w:val="32"/>
        </w:rPr>
        <w:t>sugere-se que a coordenação tenha ocorrido através dos oxigênios carbonílico presentes no anel antracênico e fenólico da antraquinona, os deslocamentos observados para os grupamentos (C=O) são de 1670 cm</w:t>
      </w:r>
      <w:r>
        <w:rPr>
          <w:rFonts w:cs="Times New Roman" w:ascii="Times New Roman" w:hAnsi="Times New Roman"/>
          <w:sz w:val="24"/>
          <w:szCs w:val="32"/>
          <w:vertAlign w:val="superscript"/>
        </w:rPr>
        <w:t>-1</w:t>
      </w:r>
      <w:r>
        <w:rPr>
          <w:rFonts w:cs="Times New Roman" w:ascii="Times New Roman" w:hAnsi="Times New Roman"/>
          <w:sz w:val="24"/>
          <w:szCs w:val="32"/>
        </w:rPr>
        <w:t xml:space="preserve"> para 1640 cm</w:t>
      </w:r>
      <w:r>
        <w:rPr>
          <w:rFonts w:cs="Times New Roman" w:ascii="Times New Roman" w:hAnsi="Times New Roman"/>
          <w:sz w:val="24"/>
          <w:szCs w:val="32"/>
          <w:vertAlign w:val="superscript"/>
        </w:rPr>
        <w:t>-1</w:t>
      </w:r>
      <w:r>
        <w:rPr>
          <w:rFonts w:cs="Times New Roman" w:ascii="Times New Roman" w:hAnsi="Times New Roman"/>
          <w:sz w:val="24"/>
          <w:szCs w:val="32"/>
        </w:rPr>
        <w:t xml:space="preserve"> e 1590 cm</w:t>
      </w:r>
      <w:r>
        <w:rPr>
          <w:rFonts w:cs="Times New Roman" w:ascii="Times New Roman" w:hAnsi="Times New Roman"/>
          <w:sz w:val="24"/>
          <w:szCs w:val="32"/>
          <w:vertAlign w:val="superscript"/>
        </w:rPr>
        <w:t>-1</w:t>
      </w:r>
      <w:r>
        <w:rPr>
          <w:rFonts w:cs="Times New Roman" w:ascii="Times New Roman" w:hAnsi="Times New Roman"/>
          <w:sz w:val="24"/>
          <w:szCs w:val="32"/>
        </w:rPr>
        <w:t xml:space="preserve"> e 1557 cm</w:t>
      </w:r>
      <w:r>
        <w:rPr>
          <w:rFonts w:cs="Times New Roman" w:ascii="Times New Roman" w:hAnsi="Times New Roman"/>
          <w:sz w:val="24"/>
          <w:szCs w:val="32"/>
          <w:vertAlign w:val="superscript"/>
        </w:rPr>
        <w:t>-1</w:t>
      </w:r>
      <w:r>
        <w:rPr>
          <w:rFonts w:cs="Times New Roman" w:ascii="Times New Roman" w:hAnsi="Times New Roman"/>
          <w:sz w:val="24"/>
          <w:szCs w:val="32"/>
        </w:rPr>
        <w:t>. Outro forte indicativo através do FT-IR foi é a não visualização da banda atribuída ao estiramento γ (O-H) do grupamento fenol presente na alizarina, sugerindo a coordenação ao centro metálico através do oxigênio. Ainda é presumível a presença de H</w:t>
      </w:r>
      <w:r>
        <w:rPr>
          <w:rFonts w:cs="Times New Roman" w:ascii="Times New Roman" w:hAnsi="Times New Roman"/>
          <w:sz w:val="24"/>
          <w:szCs w:val="32"/>
          <w:vertAlign w:val="subscript"/>
        </w:rPr>
        <w:t>2</w:t>
      </w:r>
      <w:r>
        <w:rPr>
          <w:rFonts w:cs="Times New Roman" w:ascii="Times New Roman" w:hAnsi="Times New Roman"/>
          <w:sz w:val="24"/>
          <w:szCs w:val="32"/>
        </w:rPr>
        <w:t>O no complexo, através da visualização de uma banda alargada na região de 3500 cm</w:t>
      </w:r>
      <w:r>
        <w:rPr>
          <w:rFonts w:cs="Times New Roman" w:ascii="Times New Roman" w:hAnsi="Times New Roman"/>
          <w:sz w:val="24"/>
          <w:szCs w:val="32"/>
          <w:vertAlign w:val="superscript"/>
        </w:rPr>
        <w:t>-1</w:t>
      </w:r>
      <w:r>
        <w:rPr>
          <w:rFonts w:cs="Times New Roman" w:ascii="Times New Roman" w:hAnsi="Times New Roman"/>
          <w:sz w:val="24"/>
          <w:szCs w:val="32"/>
        </w:rPr>
        <w:t xml:space="preserve"> o que confere com os dados obtidos através da análise de CHN.  A espectroscopia de absorção no UV-Vis mostra ligeiros deslocamentos no perfil eletrônico do complexo, sendo todas as bandas atribuídas principalmente as transições intraligantes do tipo tipo π→π*, relacionadas a distribuição eletrônica do anel antracênico.</w:t>
      </w:r>
      <w:r>
        <w:rPr>
          <w:sz w:val="24"/>
          <w:szCs w:val="32"/>
        </w:rPr>
        <w:t xml:space="preserve"> </w:t>
      </w:r>
      <w:r>
        <w:rPr>
          <w:rFonts w:cs="Times New Roman" w:ascii="Times New Roman" w:hAnsi="Times New Roman"/>
          <w:b/>
          <w:sz w:val="24"/>
          <w:szCs w:val="32"/>
        </w:rPr>
        <w:t>Conclusão:</w:t>
      </w:r>
      <w:r>
        <w:rPr>
          <w:rFonts w:cs="Times New Roman" w:ascii="Times New Roman" w:hAnsi="Times New Roman"/>
          <w:sz w:val="24"/>
          <w:szCs w:val="32"/>
        </w:rPr>
        <w:t xml:space="preserve"> Concluiu-se que o complexo de litio(I) foi sintetizado com sucesso, visto que as analises afirmam que houve um composto formado e se comporta de forma diferente do ligante de acordo com as analises realizadas.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bCs/>
          <w:sz w:val="24"/>
          <w:szCs w:val="32"/>
        </w:rPr>
      </w:pPr>
      <w:r>
        <w:rPr>
          <w:rFonts w:cs="Times New Roman" w:ascii="Times New Roman" w:hAnsi="Times New Roman"/>
          <w:b/>
          <w:bCs/>
          <w:sz w:val="24"/>
          <w:szCs w:val="32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32"/>
          <w:vertAlign w:val="superscript"/>
        </w:rPr>
      </w:pPr>
      <w:r>
        <w:rPr>
          <w:rFonts w:cs="Times New Roman" w:ascii="Times New Roman" w:hAnsi="Times New Roman"/>
          <w:b/>
          <w:bCs/>
          <w:sz w:val="24"/>
          <w:szCs w:val="32"/>
        </w:rPr>
        <w:t>Palavras-chave:</w:t>
      </w:r>
      <w:r>
        <w:rPr>
          <w:rFonts w:cs="Times New Roman" w:ascii="Times New Roman" w:hAnsi="Times New Roman"/>
          <w:sz w:val="24"/>
          <w:szCs w:val="32"/>
        </w:rPr>
        <w:t xml:space="preserve"> Antraquinonas, Alizarina, Complexo, Li</w:t>
      </w:r>
      <w:r>
        <w:rPr>
          <w:rFonts w:cs="Times New Roman" w:ascii="Times New Roman" w:hAnsi="Times New Roman"/>
          <w:sz w:val="24"/>
          <w:szCs w:val="32"/>
          <w:vertAlign w:val="superscript"/>
        </w:rPr>
        <w:t>+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32"/>
          <w:vertAlign w:val="superscript"/>
        </w:rPr>
      </w:pPr>
      <w:r>
        <w:rPr>
          <w:rFonts w:cs="Times New Roman" w:ascii="Times New Roman" w:hAnsi="Times New Roman"/>
          <w:sz w:val="24"/>
          <w:szCs w:val="32"/>
          <w:vertAlign w:val="superscript"/>
        </w:rPr>
      </w:r>
    </w:p>
    <w:p>
      <w:pPr>
        <w:pStyle w:val="Normal"/>
        <w:spacing w:before="0" w:after="0"/>
        <w:rPr>
          <w:rFonts w:ascii="Times New Roman" w:hAnsi="Times New Roman" w:cs="Times New Roman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32"/>
        </w:rPr>
        <w:t>Agradecimentos</w:t>
      </w:r>
      <w:r>
        <w:rPr>
          <w:rFonts w:eastAsia="Times New Roman" w:cs="Times New Roman" w:ascii="Times New Roman" w:hAnsi="Times New Roman"/>
          <w:color w:val="000000"/>
          <w:sz w:val="24"/>
          <w:szCs w:val="32"/>
        </w:rPr>
        <w:t xml:space="preserve">: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32"/>
        </w:rPr>
        <w:t>Ao Conselho Nacional de Desenvolvimento Científico e Tecnológico (CNPq) pela concessão de bolsa de iniciação científica ao primeiro autor</w:t>
      </w:r>
      <w:r>
        <w:rPr>
          <w:rFonts w:eastAsia="Times New Roman" w:cs="Times New Roman" w:ascii="Times New Roman" w:hAnsi="Times New Roman"/>
          <w:bCs/>
          <w:color w:val="000000"/>
          <w:szCs w:val="24"/>
        </w:rPr>
        <w:t>.</w:t>
      </w:r>
    </w:p>
    <w:p>
      <w:pPr>
        <w:pStyle w:val="Normal"/>
        <w:spacing w:before="0" w:after="200"/>
        <w:rPr/>
      </w:pPr>
      <w:r>
        <w:rPr/>
      </w:r>
    </w:p>
    <w:sectPr>
      <w:headerReference w:type="default" r:id="rId6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w:drawing>
        <wp:inline distT="0" distB="0" distL="0" distR="0">
          <wp:extent cx="7559675" cy="1477645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11" r="-2" b="-11"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4776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70"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4" w:customStyle="1">
    <w:name w:val="Fonte parág. padrão4"/>
    <w:qFormat/>
    <w:rPr/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Fontepargpadro5" w:customStyle="1">
    <w:name w:val="Fonte parág. padrão5"/>
    <w:qFormat/>
    <w:rPr/>
  </w:style>
  <w:style w:type="character" w:styleId="BalloonTextChar" w:customStyle="1">
    <w:name w:val="Balloon Text Char"/>
    <w:qFormat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Fontepargpadro5"/>
    <w:qFormat/>
    <w:rPr/>
  </w:style>
  <w:style w:type="character" w:styleId="FooterChar" w:customStyle="1">
    <w:name w:val="Footer Char"/>
    <w:basedOn w:val="Fontepargpadro5"/>
    <w:qFormat/>
    <w:rPr/>
  </w:style>
  <w:style w:type="character" w:styleId="Strong">
    <w:name w:val="Strong"/>
    <w:qFormat/>
    <w:rPr>
      <w:b/>
      <w:bCs/>
    </w:rPr>
  </w:style>
  <w:style w:type="character" w:styleId="Legendadatabela2" w:customStyle="1">
    <w:name w:val="Legenda da tabela (2)_"/>
    <w:qFormat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Pr>
      <w:color w:val="0000FF"/>
      <w:u w:val="single"/>
    </w:rPr>
  </w:style>
  <w:style w:type="character" w:styleId="Smbolosdenumerao" w:customStyle="1">
    <w:name w:val="Símbolos de numeração"/>
    <w:qFormat/>
    <w:rPr/>
  </w:style>
  <w:style w:type="character" w:styleId="BalloonTextChar1" w:customStyle="1">
    <w:name w:val="Balloon Text Char1"/>
    <w:link w:val="BalloonText"/>
    <w:uiPriority w:val="99"/>
    <w:semiHidden/>
    <w:qFormat/>
    <w:rsid w:val="00f9268c"/>
    <w:rPr>
      <w:rFonts w:ascii="Tahoma" w:hAnsi="Tahoma" w:eastAsia="Calibri" w:cs="Tahoma"/>
      <w:sz w:val="16"/>
      <w:szCs w:val="16"/>
      <w:lang w:eastAsia="zh-CN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c76e9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255f8d"/>
    <w:rPr>
      <w:color w:val="605E5C"/>
      <w:shd w:fill="E1DFDD" w:val="clear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5" w:customStyle="1">
    <w:name w:val="Título5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uiPriority w:val="35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" w:customStyle="1">
    <w:name w:val="Título4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" w:customStyle="1">
    <w:name w:val="Título3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" w:customStyle="1">
    <w:name w:val="Título2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" w:customStyle="1">
    <w:name w:val="Título1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odebalo1" w:customStyle="1">
    <w:name w:val="Texto de balão1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BalloonTextChar1"/>
    <w:uiPriority w:val="99"/>
    <w:semiHidden/>
    <w:unhideWhenUsed/>
    <w:qFormat/>
    <w:rsid w:val="00f9268c"/>
    <w:pPr>
      <w:spacing w:lineRule="auto" w:line="240" w:before="0" w:after="0"/>
    </w:pPr>
    <w:rPr>
      <w:rFonts w:ascii="Tahoma" w:hAnsi="Tahoma" w:cs="Times New Roman"/>
      <w:sz w:val="16"/>
      <w:szCs w:val="16"/>
      <w:lang w:val="x-none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daniela_whore@outlook.com" TargetMode="External"/><Relationship Id="rId3" Type="http://schemas.openxmlformats.org/officeDocument/2006/relationships/hyperlink" Target="mailto:jpcn2020@hotmail.com" TargetMode="External"/><Relationship Id="rId4" Type="http://schemas.openxmlformats.org/officeDocument/2006/relationships/hyperlink" Target="mailto:naty.ander@hotmail.com" TargetMode="External"/><Relationship Id="rId5" Type="http://schemas.openxmlformats.org/officeDocument/2006/relationships/hyperlink" Target="mailto:piu_floripa@uems.br" TargetMode="Externa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LibreOffice/5.1.5.2$Windows_X86_64 LibreOffice_project/7a864d8825610a8c07cfc3bc01dd4fce6a9447e5</Application>
  <Pages>1</Pages>
  <Words>576</Words>
  <CharactersWithSpaces>3116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2019-07-16T03:13:00Z</dcterms:created>
  <dc:creator>Leticia Horbach Gonçalves</dc:creator>
  <dc:description/>
  <dc:language>pt-BR</dc:language>
  <cp:lastModifiedBy>Daniela Bueno</cp:lastModifiedBy>
  <cp:lastPrinted>2017-07-04T13:14:00Z</cp:lastPrinted>
  <dcterms:modified xsi:type="dcterms:W3CDTF">2019-08-07T17:37:00Z</dcterms:modified>
  <cp:revision>13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