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7A" w:rsidRDefault="00F63B7A" w:rsidP="00F63B7A">
      <w:pPr>
        <w:spacing w:line="360" w:lineRule="auto"/>
        <w:jc w:val="center"/>
        <w:rPr>
          <w:b/>
        </w:rPr>
      </w:pPr>
    </w:p>
    <w:p w:rsidR="00F63B7A" w:rsidRPr="00D14C98" w:rsidRDefault="00F63B7A" w:rsidP="00F63B7A">
      <w:pPr>
        <w:spacing w:line="360" w:lineRule="auto"/>
        <w:jc w:val="center"/>
        <w:rPr>
          <w:b/>
        </w:rPr>
      </w:pPr>
      <w:r w:rsidRPr="00D14C98">
        <w:rPr>
          <w:b/>
        </w:rPr>
        <w:t>DESEMPENHO</w:t>
      </w:r>
      <w:r>
        <w:rPr>
          <w:b/>
        </w:rPr>
        <w:t xml:space="preserve"> DA BANANEIRA</w:t>
      </w:r>
      <w:r w:rsidRPr="00D14C98">
        <w:rPr>
          <w:b/>
        </w:rPr>
        <w:t xml:space="preserve"> </w:t>
      </w:r>
      <w:r>
        <w:rPr>
          <w:b/>
        </w:rPr>
        <w:t xml:space="preserve">E DE </w:t>
      </w:r>
      <w:r w:rsidRPr="00D14C98">
        <w:rPr>
          <w:b/>
        </w:rPr>
        <w:t>ADUBOS VERDES PERENES</w:t>
      </w:r>
      <w:r>
        <w:rPr>
          <w:b/>
        </w:rPr>
        <w:t xml:space="preserve"> EM CONSÓRCIO, UM</w:t>
      </w:r>
      <w:r w:rsidRPr="00D14C98">
        <w:rPr>
          <w:b/>
        </w:rPr>
        <w:t xml:space="preserve"> SISTEMA SOB TRANSIÇÃO AGROECOLÓGICA</w:t>
      </w:r>
    </w:p>
    <w:p w:rsidR="00F63B7A" w:rsidRDefault="00F63B7A" w:rsidP="00F63B7A">
      <w:pPr>
        <w:spacing w:line="360" w:lineRule="auto"/>
        <w:jc w:val="both"/>
        <w:rPr>
          <w:vertAlign w:val="superscript"/>
        </w:rPr>
      </w:pPr>
    </w:p>
    <w:p w:rsidR="00F63B7A" w:rsidRDefault="00F63B7A" w:rsidP="00F63B7A">
      <w:pPr>
        <w:spacing w:line="360" w:lineRule="auto"/>
        <w:rPr>
          <w:b/>
          <w:sz w:val="20"/>
          <w:szCs w:val="20"/>
        </w:rPr>
      </w:pPr>
      <w:r w:rsidRPr="00825752">
        <w:rPr>
          <w:b/>
          <w:sz w:val="20"/>
          <w:szCs w:val="20"/>
        </w:rPr>
        <w:t>Everton Igor Severino Souza</w:t>
      </w:r>
      <w:r w:rsidRPr="00825752">
        <w:rPr>
          <w:b/>
          <w:sz w:val="20"/>
          <w:szCs w:val="20"/>
          <w:vertAlign w:val="superscript"/>
        </w:rPr>
        <w:t>1</w:t>
      </w:r>
      <w:r w:rsidRPr="00825752">
        <w:rPr>
          <w:b/>
          <w:sz w:val="20"/>
          <w:szCs w:val="20"/>
        </w:rPr>
        <w:t>; Leandro Flávio Carneiro</w:t>
      </w:r>
      <w:r w:rsidRPr="00825752">
        <w:rPr>
          <w:b/>
          <w:sz w:val="20"/>
          <w:szCs w:val="20"/>
          <w:vertAlign w:val="superscript"/>
        </w:rPr>
        <w:t>2</w:t>
      </w:r>
      <w:r w:rsidRPr="00825752">
        <w:rPr>
          <w:b/>
          <w:sz w:val="20"/>
          <w:szCs w:val="20"/>
        </w:rPr>
        <w:t xml:space="preserve">; Milton </w:t>
      </w:r>
      <w:r>
        <w:rPr>
          <w:b/>
          <w:sz w:val="20"/>
          <w:szCs w:val="20"/>
        </w:rPr>
        <w:t xml:space="preserve">Parron </w:t>
      </w:r>
      <w:r w:rsidRPr="00825752">
        <w:rPr>
          <w:b/>
          <w:sz w:val="20"/>
          <w:szCs w:val="20"/>
        </w:rPr>
        <w:t>Padovan</w:t>
      </w:r>
      <w:r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</w:rPr>
        <w:t>;</w:t>
      </w:r>
      <w:r>
        <w:rPr>
          <w:b/>
          <w:sz w:val="20"/>
          <w:szCs w:val="20"/>
          <w:vertAlign w:val="superscript"/>
        </w:rPr>
        <w:t xml:space="preserve"> </w:t>
      </w:r>
      <w:r w:rsidRPr="00825752">
        <w:rPr>
          <w:b/>
          <w:sz w:val="20"/>
          <w:szCs w:val="20"/>
        </w:rPr>
        <w:t>Hugo Manoel de Souza</w:t>
      </w:r>
      <w:r>
        <w:rPr>
          <w:b/>
          <w:sz w:val="20"/>
          <w:szCs w:val="20"/>
          <w:vertAlign w:val="superscript"/>
        </w:rPr>
        <w:t>1</w:t>
      </w:r>
      <w:r w:rsidRPr="00825752">
        <w:rPr>
          <w:b/>
          <w:sz w:val="20"/>
          <w:szCs w:val="20"/>
        </w:rPr>
        <w:t>;</w:t>
      </w:r>
      <w:r w:rsidRPr="00825752">
        <w:rPr>
          <w:b/>
          <w:sz w:val="20"/>
          <w:szCs w:val="20"/>
        </w:rPr>
        <w:softHyphen/>
      </w:r>
      <w:r w:rsidRPr="00825752">
        <w:rPr>
          <w:b/>
          <w:sz w:val="20"/>
          <w:szCs w:val="20"/>
          <w:vertAlign w:val="superscript"/>
        </w:rPr>
        <w:t xml:space="preserve"> </w:t>
      </w:r>
      <w:r w:rsidRPr="00825752">
        <w:rPr>
          <w:b/>
          <w:sz w:val="20"/>
          <w:szCs w:val="20"/>
        </w:rPr>
        <w:t>Christian Rones</w:t>
      </w:r>
      <w:r>
        <w:rPr>
          <w:b/>
          <w:sz w:val="20"/>
          <w:szCs w:val="20"/>
        </w:rPr>
        <w:t xml:space="preserve"> Wruck</w:t>
      </w:r>
      <w:r w:rsidRPr="00825752">
        <w:rPr>
          <w:b/>
          <w:sz w:val="20"/>
          <w:szCs w:val="20"/>
        </w:rPr>
        <w:t xml:space="preserve"> de Souza Osório</w:t>
      </w:r>
      <w:r>
        <w:rPr>
          <w:b/>
          <w:sz w:val="20"/>
          <w:szCs w:val="20"/>
          <w:vertAlign w:val="superscript"/>
        </w:rPr>
        <w:t>1</w:t>
      </w:r>
    </w:p>
    <w:p w:rsidR="00F63B7A" w:rsidRPr="00AD4E7D" w:rsidRDefault="00F63B7A" w:rsidP="00F63B7A">
      <w:pPr>
        <w:spacing w:line="360" w:lineRule="auto"/>
        <w:jc w:val="both"/>
        <w:rPr>
          <w:b/>
          <w:sz w:val="20"/>
          <w:szCs w:val="20"/>
        </w:rPr>
      </w:pPr>
    </w:p>
    <w:p w:rsidR="00F63B7A" w:rsidRPr="009C7A4E" w:rsidRDefault="00F63B7A" w:rsidP="00F63B7A">
      <w:pPr>
        <w:spacing w:line="36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Acadêmicos do curso de agronomia da UEMS, Unidade Universitária de Cassilândia; E-mail: </w:t>
      </w:r>
      <w:r w:rsidRPr="009C7A4E">
        <w:rPr>
          <w:sz w:val="20"/>
          <w:szCs w:val="20"/>
        </w:rPr>
        <w:t>everton.igor@hotmail.com</w:t>
      </w:r>
      <w:r>
        <w:rPr>
          <w:sz w:val="20"/>
          <w:szCs w:val="20"/>
        </w:rPr>
        <w:t xml:space="preserve">, </w:t>
      </w:r>
      <w:r w:rsidRPr="00110E38">
        <w:rPr>
          <w:b/>
          <w:sz w:val="20"/>
          <w:szCs w:val="20"/>
        </w:rPr>
        <w:t>Bolsista</w:t>
      </w:r>
      <w:r w:rsidRPr="00180147">
        <w:rPr>
          <w:b/>
          <w:sz w:val="20"/>
          <w:szCs w:val="20"/>
        </w:rPr>
        <w:t xml:space="preserve"> UEMS</w:t>
      </w:r>
      <w:r>
        <w:rPr>
          <w:sz w:val="20"/>
          <w:szCs w:val="20"/>
        </w:rPr>
        <w:t xml:space="preserve">; </w:t>
      </w:r>
      <w:r w:rsidRPr="009C7A4E">
        <w:rPr>
          <w:sz w:val="20"/>
          <w:szCs w:val="20"/>
        </w:rPr>
        <w:t xml:space="preserve">hugo_manoel12@hotmail.com; </w:t>
      </w:r>
      <w:r w:rsidRPr="00CB53AC">
        <w:rPr>
          <w:sz w:val="20"/>
          <w:szCs w:val="20"/>
          <w:shd w:val="clear" w:color="auto" w:fill="FFFFFF" w:themeFill="background1"/>
        </w:rPr>
        <w:t>cristian_gt40@hotmail.com</w:t>
      </w:r>
    </w:p>
    <w:p w:rsidR="00F63B7A" w:rsidRDefault="00F63B7A" w:rsidP="00F63B7A">
      <w:pPr>
        <w:spacing w:line="36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 xml:space="preserve">Professor do curso de agronomia UEMS, Unidade Universitária de Cassilândia; E-mail: </w:t>
      </w:r>
      <w:r w:rsidRPr="005C008C">
        <w:rPr>
          <w:sz w:val="20"/>
          <w:szCs w:val="20"/>
        </w:rPr>
        <w:t>lcarneiro@uems.br</w:t>
      </w:r>
    </w:p>
    <w:p w:rsidR="00F63B7A" w:rsidRDefault="00F63B7A" w:rsidP="00F63B7A">
      <w:pPr>
        <w:spacing w:line="36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Pesquisador da Embrapa Agropecuária Oeste, Dourados, MS; E-mail:</w:t>
      </w:r>
      <w:r w:rsidRPr="00985A67">
        <w:rPr>
          <w:sz w:val="16"/>
          <w:szCs w:val="16"/>
        </w:rPr>
        <w:t xml:space="preserve"> </w:t>
      </w:r>
      <w:r w:rsidRPr="005C008C">
        <w:rPr>
          <w:sz w:val="20"/>
          <w:szCs w:val="20"/>
        </w:rPr>
        <w:t>padovan@cpao.embrapa.br</w:t>
      </w:r>
    </w:p>
    <w:p w:rsidR="00F63B7A" w:rsidRDefault="00F63B7A" w:rsidP="00F63B7A">
      <w:pPr>
        <w:spacing w:line="360" w:lineRule="auto"/>
        <w:rPr>
          <w:sz w:val="20"/>
          <w:szCs w:val="20"/>
        </w:rPr>
      </w:pPr>
    </w:p>
    <w:p w:rsidR="00F63B7A" w:rsidRDefault="00F63B7A" w:rsidP="00F63B7A">
      <w:pPr>
        <w:spacing w:line="360" w:lineRule="auto"/>
      </w:pPr>
      <w:r>
        <w:t xml:space="preserve">Área Temática da Pesquisa: </w:t>
      </w:r>
      <w:r w:rsidRPr="00360A7A">
        <w:t>Fertilidade do Solo e Adubação</w:t>
      </w:r>
    </w:p>
    <w:p w:rsidR="00F63B7A" w:rsidRDefault="00F63B7A" w:rsidP="00F63B7A">
      <w:pPr>
        <w:spacing w:line="360" w:lineRule="auto"/>
      </w:pPr>
    </w:p>
    <w:p w:rsidR="00520C7F" w:rsidRDefault="00F63B7A" w:rsidP="00A12EFD">
      <w:pPr>
        <w:spacing w:line="360" w:lineRule="auto"/>
        <w:jc w:val="both"/>
        <w:rPr>
          <w:b/>
        </w:rPr>
      </w:pPr>
      <w:r w:rsidRPr="00985A67">
        <w:rPr>
          <w:b/>
        </w:rPr>
        <w:t>Resumo</w:t>
      </w:r>
    </w:p>
    <w:p w:rsidR="00520C7F" w:rsidRPr="00520C7F" w:rsidRDefault="00F63B7A" w:rsidP="00DA66AC">
      <w:pPr>
        <w:spacing w:line="360" w:lineRule="auto"/>
        <w:jc w:val="both"/>
        <w:rPr>
          <w:b/>
        </w:rPr>
      </w:pPr>
      <w:r>
        <w:t xml:space="preserve">Com o objetivo de avaliar o desempenho dos adubos verdes perenes em consórcio com a bananeira foi </w:t>
      </w:r>
      <w:r w:rsidRPr="00985A67">
        <w:t>implanta</w:t>
      </w:r>
      <w:r>
        <w:t>do um experimento na</w:t>
      </w:r>
      <w:r w:rsidRPr="001A4628">
        <w:t xml:space="preserve"> </w:t>
      </w:r>
      <w:r w:rsidRPr="007339C0">
        <w:t>Escola Família Agrícola Rosalvo Rodrigues da Rocha, situada em Nova Alvorada do Sul-MS</w:t>
      </w:r>
      <w:r>
        <w:t>. A</w:t>
      </w:r>
      <w:r w:rsidRPr="00985A67">
        <w:t xml:space="preserve">s atividades no campo </w:t>
      </w:r>
      <w:r>
        <w:t xml:space="preserve">obedeceram </w:t>
      </w:r>
      <w:r w:rsidRPr="00985A67">
        <w:t xml:space="preserve">o delineamento experimental de blocos ao acaso, com quatro repetições. Os tratamentos </w:t>
      </w:r>
      <w:r>
        <w:t>foram</w:t>
      </w:r>
      <w:r w:rsidRPr="00985A67">
        <w:t xml:space="preserve"> compostos por diferentes espécies de le</w:t>
      </w:r>
      <w:r>
        <w:t xml:space="preserve">guminosas herbáceas perenes: amendoim forrageiro, </w:t>
      </w:r>
      <w:r w:rsidRPr="00985A67">
        <w:t>cudzu tropical</w:t>
      </w:r>
      <w:r>
        <w:t xml:space="preserve">, </w:t>
      </w:r>
      <w:r w:rsidRPr="00985A67">
        <w:t>calopogônio</w:t>
      </w:r>
      <w:r>
        <w:t>,</w:t>
      </w:r>
      <w:r w:rsidRPr="00985A67">
        <w:t xml:space="preserve"> estilosantes</w:t>
      </w:r>
      <w:r>
        <w:t>,</w:t>
      </w:r>
      <w:r w:rsidRPr="00985A67">
        <w:t xml:space="preserve"> consórcio entre cudzu tropical e calopogônio e as testemunhas - feijão de porco</w:t>
      </w:r>
      <w:r>
        <w:t>,</w:t>
      </w:r>
      <w:r w:rsidRPr="00985A67">
        <w:t xml:space="preserve"> parcela com plantas espontâneas e parcela sem cobertura vegetal. As bananeiras </w:t>
      </w:r>
      <w:r>
        <w:t xml:space="preserve">foram </w:t>
      </w:r>
      <w:r w:rsidRPr="00985A67">
        <w:t xml:space="preserve">plantadas simultaneamente aos adubos verdes, sendo utilizado </w:t>
      </w:r>
      <w:r>
        <w:t xml:space="preserve">mudas da cultivar </w:t>
      </w:r>
      <w:r w:rsidRPr="00985A67">
        <w:t xml:space="preserve">nanicão (grand nyne). Em cada unidade experimental, </w:t>
      </w:r>
      <w:r>
        <w:t xml:space="preserve">foram </w:t>
      </w:r>
      <w:r w:rsidRPr="00985A67">
        <w:t xml:space="preserve">plantadas 16 mudas de bananeiras dispostas no espaçamento de </w:t>
      </w:r>
      <w:smartTag w:uri="urn:schemas-microsoft-com:office:smarttags" w:element="metricconverter">
        <w:smartTagPr>
          <w:attr w:name="ProductID" w:val="3 m"/>
        </w:smartTagPr>
        <w:r w:rsidRPr="00985A67">
          <w:t>3 m</w:t>
        </w:r>
      </w:smartTag>
      <w:r w:rsidRPr="00985A67">
        <w:t xml:space="preserve"> x </w:t>
      </w:r>
      <w:smartTag w:uri="urn:schemas-microsoft-com:office:smarttags" w:element="metricconverter">
        <w:smartTagPr>
          <w:attr w:name="ProductID" w:val="3 m"/>
        </w:smartTagPr>
        <w:r w:rsidRPr="00985A67">
          <w:t>3 m</w:t>
        </w:r>
      </w:smartTag>
      <w:r w:rsidRPr="00985A67">
        <w:t>. Foi avaliado  o acúmulo de fitomassa e nutrientes em leguminosas herbáceas perenes consorciadas com a cultura da bananeira</w:t>
      </w:r>
      <w:r>
        <w:t xml:space="preserve"> e o crescimento vegetativo da bananeira</w:t>
      </w:r>
      <w:r w:rsidRPr="00985A67">
        <w:t>. Os adubos verdes perenes apresentaram desempenho semelhante quanto a produção de fitomassa. O amendoim forrageiro e estilosantes destacaram na reciclagem de Ca e Mg.</w:t>
      </w:r>
      <w:r>
        <w:t xml:space="preserve"> </w:t>
      </w:r>
      <w:r w:rsidR="00520C7F">
        <w:t>O amendoim forrageiro trouxe menor incremento no crescimento da bananeira.</w:t>
      </w:r>
    </w:p>
    <w:p w:rsidR="00F63B7A" w:rsidRDefault="00F63B7A" w:rsidP="00F63B7A">
      <w:pPr>
        <w:pStyle w:val="NormalWeb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63B7A" w:rsidRDefault="00F63B7A" w:rsidP="00F63B7A">
      <w:pPr>
        <w:pStyle w:val="NormalWeb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7C4">
        <w:rPr>
          <w:rFonts w:ascii="Times New Roman" w:hAnsi="Times New Roman"/>
          <w:b/>
          <w:sz w:val="24"/>
          <w:szCs w:val="24"/>
        </w:rPr>
        <w:t>Palavras-chave: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67C4">
        <w:rPr>
          <w:rFonts w:ascii="Times New Roman" w:hAnsi="Times New Roman"/>
          <w:i/>
          <w:sz w:val="24"/>
          <w:szCs w:val="24"/>
        </w:rPr>
        <w:t xml:space="preserve">Musa </w:t>
      </w:r>
      <w:r w:rsidRPr="009167C4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p, fixação de nitrogênio, cobertura vegetal.</w:t>
      </w:r>
    </w:p>
    <w:p w:rsidR="00F63B7A" w:rsidRPr="009167C4" w:rsidRDefault="00F63B7A" w:rsidP="00F63B7A">
      <w:pPr>
        <w:pStyle w:val="NormalWeb"/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3B7A" w:rsidRPr="009167C4" w:rsidRDefault="00F63B7A" w:rsidP="00F63B7A">
      <w:pPr>
        <w:pStyle w:val="NormalWeb"/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 w:rsidRPr="009167C4">
        <w:rPr>
          <w:rFonts w:ascii="Times New Roman" w:hAnsi="Times New Roman"/>
          <w:b/>
          <w:sz w:val="24"/>
          <w:szCs w:val="24"/>
        </w:rPr>
        <w:t>Introdução</w:t>
      </w:r>
    </w:p>
    <w:p w:rsidR="00F63B7A" w:rsidRPr="00860C5A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167C4">
        <w:rPr>
          <w:rFonts w:ascii="Times New Roman" w:hAnsi="Times New Roman"/>
          <w:sz w:val="24"/>
          <w:szCs w:val="24"/>
        </w:rPr>
        <w:t xml:space="preserve"> adubação verde constitui-se numa prática importante, graças às multifunções que exerce no sistema solo</w:t>
      </w:r>
      <w:r>
        <w:rPr>
          <w:rFonts w:ascii="Times New Roman" w:hAnsi="Times New Roman"/>
          <w:sz w:val="24"/>
          <w:szCs w:val="24"/>
        </w:rPr>
        <w:t>,</w:t>
      </w:r>
      <w:r w:rsidRPr="000B1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pois </w:t>
      </w:r>
      <w:r w:rsidRPr="00860C5A">
        <w:rPr>
          <w:rFonts w:ascii="Times New Roman" w:hAnsi="Times New Roman"/>
          <w:sz w:val="24"/>
          <w:szCs w:val="24"/>
        </w:rPr>
        <w:t xml:space="preserve">melhora significativamente a atividade biológica, que contribui para o aumento da reciclagem de nutrientes e à manutenção e até melhoria da fertilidade, bem como ao equilíbrio ecológico, resultando em maior qualidade ao solo (Calegari et al, 1993). </w:t>
      </w:r>
    </w:p>
    <w:p w:rsidR="00F63B7A" w:rsidRPr="00860C5A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PT"/>
        </w:rPr>
      </w:pPr>
      <w:r w:rsidRPr="00860C5A">
        <w:rPr>
          <w:rFonts w:ascii="Times New Roman" w:hAnsi="Times New Roman"/>
          <w:bCs/>
          <w:sz w:val="24"/>
          <w:szCs w:val="24"/>
        </w:rPr>
        <w:t xml:space="preserve">O cultivo de frutíferas no Território da Grande Dourados-MS, especialmente a bananicultura, predomina cultivos com adoção de práticas de manejo que têm conduzido a elevados níveis de degradação dos solos e a baixos rendimentos da cultura. </w:t>
      </w:r>
      <w:r w:rsidRPr="00860C5A">
        <w:rPr>
          <w:rFonts w:ascii="Times New Roman" w:hAnsi="Times New Roman"/>
          <w:sz w:val="24"/>
          <w:szCs w:val="24"/>
        </w:rPr>
        <w:t>A utilização de leguminosas herbáceas perenes consorciadas com a bananeira (</w:t>
      </w:r>
      <w:r w:rsidRPr="00860C5A">
        <w:rPr>
          <w:rFonts w:ascii="Times New Roman" w:hAnsi="Times New Roman"/>
          <w:i/>
          <w:sz w:val="24"/>
          <w:szCs w:val="24"/>
        </w:rPr>
        <w:t xml:space="preserve">Musa </w:t>
      </w:r>
      <w:r w:rsidRPr="00860C5A">
        <w:rPr>
          <w:rFonts w:ascii="Times New Roman" w:hAnsi="Times New Roman"/>
          <w:sz w:val="24"/>
          <w:szCs w:val="24"/>
        </w:rPr>
        <w:t>spp), poderá proporcionar expressiva contribuição à melhoria dos cultivos dessa frutífera, visto</w:t>
      </w:r>
      <w:r w:rsidRPr="00860C5A">
        <w:rPr>
          <w:rFonts w:ascii="Times New Roman" w:hAnsi="Times New Roman"/>
          <w:sz w:val="24"/>
          <w:szCs w:val="24"/>
          <w:lang w:val="pt-PT"/>
        </w:rPr>
        <w:t xml:space="preserve"> que o emprego de espécies leguminosas perenes em pomares pode promover benefícios múltiplos, dentre estes a fixação de carbono e nitrogênio atmosférico, transferindo-os para o solo (Espindola, 2001). </w:t>
      </w:r>
    </w:p>
    <w:p w:rsidR="00F63B7A" w:rsidRPr="00860C5A" w:rsidRDefault="00F63B7A" w:rsidP="00A12EFD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0C5A">
        <w:rPr>
          <w:rFonts w:ascii="Times New Roman" w:hAnsi="Times New Roman"/>
          <w:sz w:val="24"/>
          <w:szCs w:val="24"/>
          <w:lang w:val="pt-PT"/>
        </w:rPr>
        <w:t xml:space="preserve">Porém, </w:t>
      </w:r>
      <w:r w:rsidRPr="00860C5A">
        <w:rPr>
          <w:rFonts w:ascii="Times New Roman" w:hAnsi="Times New Roman"/>
          <w:sz w:val="24"/>
          <w:szCs w:val="24"/>
        </w:rPr>
        <w:t>Calegari et al. (1993) recomendam alguns cuidados específicos quanto a escolha das leguminosas a serem utilizadas, selecionando espécies que não sejam muito agressivas, reduzindo os riscos de competição com a cultura de interesse econômico. Essas recomendações reforçam a necessidade de estudos regionalizados, visando identificar as espécies mais apropriadas para cada condição eco-regional.</w:t>
      </w:r>
    </w:p>
    <w:p w:rsidR="00F63B7A" w:rsidRPr="00860C5A" w:rsidRDefault="00F63B7A" w:rsidP="00A12EFD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3B7A" w:rsidRPr="007339C0" w:rsidRDefault="00F63B7A" w:rsidP="00F63B7A">
      <w:pPr>
        <w:pStyle w:val="NormalWeb"/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 w:rsidRPr="007339C0">
        <w:rPr>
          <w:rFonts w:ascii="Times New Roman" w:hAnsi="Times New Roman"/>
          <w:b/>
          <w:sz w:val="24"/>
          <w:szCs w:val="24"/>
        </w:rPr>
        <w:t xml:space="preserve">Objetivos </w:t>
      </w:r>
    </w:p>
    <w:p w:rsidR="00F63B7A" w:rsidRDefault="00F63B7A" w:rsidP="00E65F0F">
      <w:pPr>
        <w:tabs>
          <w:tab w:val="left" w:pos="360"/>
        </w:tabs>
        <w:suppressAutoHyphens/>
        <w:spacing w:line="360" w:lineRule="auto"/>
        <w:ind w:firstLine="709"/>
        <w:jc w:val="both"/>
        <w:rPr>
          <w:bCs/>
        </w:rPr>
      </w:pPr>
      <w:r>
        <w:rPr>
          <w:bCs/>
        </w:rPr>
        <w:t>O objetivo deste trabalho foi avaliar o desempenho da bananeira e dos adubos verdes em consórcio, num sistema de produção sob transição agroecológica.</w:t>
      </w:r>
    </w:p>
    <w:p w:rsidR="00F63B7A" w:rsidRDefault="00F63B7A" w:rsidP="00F63B7A">
      <w:pPr>
        <w:tabs>
          <w:tab w:val="left" w:pos="360"/>
        </w:tabs>
        <w:suppressAutoHyphens/>
        <w:spacing w:line="360" w:lineRule="auto"/>
        <w:ind w:firstLine="709"/>
        <w:jc w:val="both"/>
        <w:rPr>
          <w:bCs/>
        </w:rPr>
      </w:pPr>
    </w:p>
    <w:p w:rsidR="00F63B7A" w:rsidRPr="007339C0" w:rsidRDefault="00F63B7A" w:rsidP="00F63B7A">
      <w:pPr>
        <w:pStyle w:val="NormalWeb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339C0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aterial e Métodos</w:t>
      </w:r>
    </w:p>
    <w:p w:rsidR="00F63B7A" w:rsidRPr="007339C0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C0">
        <w:rPr>
          <w:rFonts w:ascii="Times New Roman" w:hAnsi="Times New Roman"/>
          <w:sz w:val="24"/>
          <w:szCs w:val="24"/>
        </w:rPr>
        <w:t xml:space="preserve">O estudo </w:t>
      </w:r>
      <w:r>
        <w:rPr>
          <w:rFonts w:ascii="Times New Roman" w:hAnsi="Times New Roman"/>
          <w:sz w:val="24"/>
          <w:szCs w:val="24"/>
        </w:rPr>
        <w:t xml:space="preserve">foi </w:t>
      </w:r>
      <w:r w:rsidRPr="007339C0">
        <w:rPr>
          <w:rFonts w:ascii="Times New Roman" w:hAnsi="Times New Roman"/>
          <w:sz w:val="24"/>
          <w:szCs w:val="24"/>
        </w:rPr>
        <w:t xml:space="preserve">desenvolvido na Escola Família Agrícola Rosalvo Rodrigues da Rocha, situada em Nova Alvorada do Sul-MS, que constitui-se num agroecossistema em transição agroecológica . </w:t>
      </w:r>
    </w:p>
    <w:p w:rsidR="00F63B7A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C0">
        <w:rPr>
          <w:rFonts w:ascii="Times New Roman" w:hAnsi="Times New Roman"/>
          <w:sz w:val="24"/>
          <w:szCs w:val="24"/>
        </w:rPr>
        <w:t xml:space="preserve">A implantação das atividades no campo </w:t>
      </w:r>
      <w:r>
        <w:rPr>
          <w:rFonts w:ascii="Times New Roman" w:hAnsi="Times New Roman"/>
          <w:sz w:val="24"/>
          <w:szCs w:val="24"/>
        </w:rPr>
        <w:t xml:space="preserve">obedeceram </w:t>
      </w:r>
      <w:r w:rsidRPr="007339C0">
        <w:rPr>
          <w:rFonts w:ascii="Times New Roman" w:hAnsi="Times New Roman"/>
          <w:sz w:val="24"/>
          <w:szCs w:val="24"/>
        </w:rPr>
        <w:t xml:space="preserve">o delineamento experimental de blocos </w:t>
      </w:r>
      <w:r>
        <w:rPr>
          <w:rFonts w:ascii="Times New Roman" w:hAnsi="Times New Roman"/>
          <w:sz w:val="24"/>
          <w:szCs w:val="24"/>
        </w:rPr>
        <w:t>ao acaso, com quatro repetições,</w:t>
      </w:r>
      <w:r w:rsidRPr="007339C0">
        <w:rPr>
          <w:rFonts w:ascii="Times New Roman" w:hAnsi="Times New Roman"/>
          <w:sz w:val="24"/>
          <w:szCs w:val="24"/>
        </w:rPr>
        <w:t xml:space="preserve"> realizada no perío</w:t>
      </w:r>
      <w:r>
        <w:rPr>
          <w:rFonts w:ascii="Times New Roman" w:hAnsi="Times New Roman"/>
          <w:sz w:val="24"/>
          <w:szCs w:val="24"/>
        </w:rPr>
        <w:t xml:space="preserve">do de outubro a dezembro de 2011. </w:t>
      </w:r>
      <w:r w:rsidRPr="007339C0">
        <w:rPr>
          <w:rFonts w:ascii="Times New Roman" w:hAnsi="Times New Roman"/>
          <w:sz w:val="24"/>
          <w:szCs w:val="24"/>
        </w:rPr>
        <w:t xml:space="preserve">Os tratamentos </w:t>
      </w:r>
      <w:r>
        <w:rPr>
          <w:rFonts w:ascii="Times New Roman" w:hAnsi="Times New Roman"/>
          <w:sz w:val="24"/>
          <w:szCs w:val="24"/>
        </w:rPr>
        <w:t xml:space="preserve">foram </w:t>
      </w:r>
      <w:r w:rsidRPr="007339C0">
        <w:rPr>
          <w:rFonts w:ascii="Times New Roman" w:hAnsi="Times New Roman"/>
          <w:sz w:val="24"/>
          <w:szCs w:val="24"/>
        </w:rPr>
        <w:t xml:space="preserve">compostos por diferentes espécies de plantas usadas em cobertura do solo </w:t>
      </w:r>
      <w:r w:rsidRPr="007339C0">
        <w:rPr>
          <w:rFonts w:ascii="Times New Roman" w:hAnsi="Times New Roman"/>
          <w:sz w:val="24"/>
          <w:szCs w:val="24"/>
        </w:rPr>
        <w:lastRenderedPageBreak/>
        <w:t xml:space="preserve">consorciadas à cultura da bananeira, sendo: leguminosas herbáceas perenes - 1) amendoim forrageiro (Arachis pintoi), 2) cudzu tropical (Pueraria phaseoloides), 3) calopogônio (Calopogonium mucunoides), 4) estilosantes (Stylosanthes guianensis), 5) consórcio entre cudzu tropical e calopogônio e as testemunhas - 6) feijão de porco (Canavalia ensiformis), 7) parcela com plantas espontâneas e 8) parcela sem cobertura vegetal. </w:t>
      </w:r>
    </w:p>
    <w:p w:rsidR="00F63B7A" w:rsidRPr="007339C0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C0">
        <w:rPr>
          <w:rFonts w:ascii="Times New Roman" w:hAnsi="Times New Roman"/>
          <w:sz w:val="24"/>
          <w:szCs w:val="24"/>
        </w:rPr>
        <w:t xml:space="preserve">As bananeiras foram plantadas simultaneamente aos adubos verdes, utilizando-se mudas da cultivar nanicão (grand nyne), obtidas através da cultura de tecidos. Em cada unidade experimental, estão plantadas 16 mudas de bananeiras dispostas no espaçamento de </w:t>
      </w:r>
      <w:smartTag w:uri="urn:schemas-microsoft-com:office:smarttags" w:element="metricconverter">
        <w:smartTagPr>
          <w:attr w:name="ProductID" w:val="3 m"/>
        </w:smartTagPr>
        <w:r w:rsidRPr="007339C0">
          <w:rPr>
            <w:rFonts w:ascii="Times New Roman" w:hAnsi="Times New Roman"/>
            <w:sz w:val="24"/>
            <w:szCs w:val="24"/>
          </w:rPr>
          <w:t>3 m</w:t>
        </w:r>
      </w:smartTag>
      <w:r w:rsidRPr="007339C0">
        <w:rPr>
          <w:rFonts w:ascii="Times New Roman" w:hAnsi="Times New Roman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3 m"/>
        </w:smartTagPr>
        <w:r w:rsidRPr="007339C0">
          <w:rPr>
            <w:rFonts w:ascii="Times New Roman" w:hAnsi="Times New Roman"/>
            <w:sz w:val="24"/>
            <w:szCs w:val="24"/>
          </w:rPr>
          <w:t>3 m</w:t>
        </w:r>
      </w:smartTag>
      <w:r w:rsidRPr="007339C0">
        <w:rPr>
          <w:rFonts w:ascii="Times New Roman" w:hAnsi="Times New Roman"/>
          <w:sz w:val="24"/>
          <w:szCs w:val="24"/>
        </w:rPr>
        <w:t xml:space="preserve">. </w:t>
      </w:r>
    </w:p>
    <w:p w:rsidR="00F63B7A" w:rsidRPr="007339C0" w:rsidRDefault="00F63B7A" w:rsidP="00E65F0F">
      <w:pPr>
        <w:pStyle w:val="TextosemFormatao1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Foram </w:t>
      </w:r>
      <w:r w:rsidRPr="007339C0">
        <w:rPr>
          <w:rFonts w:ascii="Times New Roman" w:hAnsi="Times New Roman"/>
          <w:sz w:val="24"/>
          <w:szCs w:val="24"/>
        </w:rPr>
        <w:t>realizados cortes semestrais das plantas de cobertura (adubos verdes e plantas espontâneas), espalhando-se os resíduos vegetais sobre a superfície do solo.</w:t>
      </w:r>
    </w:p>
    <w:p w:rsidR="00F63B7A" w:rsidRPr="00860C5A" w:rsidDel="00F36483" w:rsidRDefault="00F63B7A" w:rsidP="00E65F0F">
      <w:pPr>
        <w:spacing w:line="360" w:lineRule="auto"/>
        <w:ind w:firstLine="709"/>
        <w:jc w:val="both"/>
      </w:pPr>
      <w:r w:rsidRPr="00860C5A">
        <w:t>A avaliação das plantas de cobertura foi realizada, através da coleta de amostras de 1m</w:t>
      </w:r>
      <w:r w:rsidRPr="00860C5A">
        <w:rPr>
          <w:vertAlign w:val="superscript"/>
        </w:rPr>
        <w:t>2</w:t>
      </w:r>
      <w:r w:rsidRPr="00860C5A">
        <w:t xml:space="preserve"> da parte aérea dessas plantas para a determinação da</w:t>
      </w:r>
      <w:r>
        <w:t xml:space="preserve"> produção de fitomassa e acúmulo de</w:t>
      </w:r>
      <w:r w:rsidRPr="00860C5A">
        <w:t xml:space="preserve"> N, P, K, Ca, Mg e S. As amostras foram secas em estufa à temperatura de 65</w:t>
      </w:r>
      <w:r w:rsidRPr="00860C5A">
        <w:rPr>
          <w:vertAlign w:val="superscript"/>
        </w:rPr>
        <w:t>o</w:t>
      </w:r>
      <w:r w:rsidRPr="00860C5A">
        <w:t xml:space="preserve">C até alcançarem peso constante, sendo então moídas. </w:t>
      </w:r>
    </w:p>
    <w:p w:rsidR="00F63B7A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0962EB">
        <w:rPr>
          <w:rFonts w:ascii="Times New Roman" w:hAnsi="Times New Roman"/>
          <w:sz w:val="24"/>
          <w:szCs w:val="24"/>
        </w:rPr>
        <w:t>oram realizadas avaliações de altura de plantas, diâmetro do pseudocaule e número de folhas vivas e emitidas pela bananeira, para fins de análise de crescimento</w:t>
      </w:r>
      <w:r>
        <w:rPr>
          <w:rFonts w:ascii="Times New Roman" w:hAnsi="Times New Roman"/>
          <w:sz w:val="24"/>
          <w:szCs w:val="24"/>
        </w:rPr>
        <w:t>.</w:t>
      </w:r>
    </w:p>
    <w:p w:rsidR="00F63B7A" w:rsidRPr="007339C0" w:rsidRDefault="00F63B7A" w:rsidP="00E65F0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0C5A">
        <w:rPr>
          <w:rFonts w:ascii="Times New Roman" w:hAnsi="Times New Roman"/>
          <w:sz w:val="24"/>
          <w:szCs w:val="24"/>
        </w:rPr>
        <w:t>Os procedimentos estatísticos constaram da análise de variância pelo teste F. Nas fontes de variação com diferença significativa, foi aplicado o teste de Tukey a 5% para a comparação</w:t>
      </w:r>
      <w:r w:rsidRPr="007339C0">
        <w:rPr>
          <w:rFonts w:ascii="Times New Roman" w:hAnsi="Times New Roman"/>
          <w:sz w:val="24"/>
          <w:szCs w:val="24"/>
        </w:rPr>
        <w:t xml:space="preserve"> de médias.</w:t>
      </w:r>
    </w:p>
    <w:p w:rsidR="00F63B7A" w:rsidRPr="00777053" w:rsidRDefault="00F63B7A" w:rsidP="00F63B7A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3B7A" w:rsidRDefault="00F63B7A" w:rsidP="00F63B7A">
      <w:pPr>
        <w:pStyle w:val="NormalWeb"/>
        <w:spacing w:before="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Pr="007339C0">
        <w:rPr>
          <w:rFonts w:ascii="Times New Roman" w:hAnsi="Times New Roman"/>
          <w:b/>
          <w:sz w:val="24"/>
          <w:szCs w:val="24"/>
        </w:rPr>
        <w:t xml:space="preserve">esultados e </w:t>
      </w:r>
      <w:r>
        <w:rPr>
          <w:rFonts w:ascii="Times New Roman" w:hAnsi="Times New Roman"/>
          <w:b/>
          <w:sz w:val="24"/>
          <w:szCs w:val="24"/>
        </w:rPr>
        <w:t>D</w:t>
      </w:r>
      <w:r w:rsidRPr="007339C0">
        <w:rPr>
          <w:rFonts w:ascii="Times New Roman" w:hAnsi="Times New Roman"/>
          <w:b/>
          <w:sz w:val="24"/>
          <w:szCs w:val="24"/>
        </w:rPr>
        <w:t>iscussão</w:t>
      </w:r>
    </w:p>
    <w:p w:rsidR="00F63B7A" w:rsidRDefault="00F63B7A" w:rsidP="00E65F0F">
      <w:pPr>
        <w:spacing w:line="360" w:lineRule="auto"/>
        <w:ind w:firstLine="709"/>
        <w:jc w:val="both"/>
      </w:pPr>
      <w:r w:rsidRPr="00860C5A">
        <w:t xml:space="preserve">Observa-se que não houve diferença significativa para a produção de massa fresca e seca dos adubos verdes cultivados em consórcio com a bananeira (Tabela 1). No entanto Guerra </w:t>
      </w:r>
      <w:r w:rsidRPr="00860C5A">
        <w:rPr>
          <w:i/>
        </w:rPr>
        <w:t>et al</w:t>
      </w:r>
      <w:r w:rsidRPr="00860C5A">
        <w:t xml:space="preserve"> (2007), avaliando o desempenho de leguminosas tropicais perenes, encontrou no estilosantes</w:t>
      </w:r>
      <w:r w:rsidRPr="00F37E6D">
        <w:t xml:space="preserve"> maior produção de biomassa. </w:t>
      </w:r>
    </w:p>
    <w:p w:rsidR="00F63B7A" w:rsidRDefault="00F63B7A" w:rsidP="00E65F0F">
      <w:pPr>
        <w:spacing w:line="360" w:lineRule="auto"/>
        <w:ind w:firstLine="709"/>
        <w:jc w:val="both"/>
      </w:pPr>
      <w:r>
        <w:t>O</w:t>
      </w:r>
      <w:r w:rsidRPr="00231306">
        <w:t>bserva-se que para o acúmulo de N, P e K entre os adubos verdes perenes e testemunha, não houve diferença significativa (T</w:t>
      </w:r>
      <w:r>
        <w:t>abela 1</w:t>
      </w:r>
      <w:r w:rsidRPr="00231306">
        <w:t xml:space="preserve">). </w:t>
      </w:r>
      <w:r w:rsidRPr="00A12B3C">
        <w:t>Porém</w:t>
      </w:r>
      <w:r w:rsidRPr="00231306">
        <w:t xml:space="preserve">, para o acúmulo de Ca e Mg, o amendoim forrageiro e estilosantes apresentaram maiores médias e para o acúmulo de S, nota-se maiores </w:t>
      </w:r>
      <w:r w:rsidRPr="00860C5A">
        <w:t xml:space="preserve">valores com o uso de plantas espontâneas (Tabela </w:t>
      </w:r>
      <w:r>
        <w:t>1</w:t>
      </w:r>
      <w:r w:rsidRPr="00860C5A">
        <w:t xml:space="preserve">). </w:t>
      </w:r>
    </w:p>
    <w:p w:rsidR="00F63B7A" w:rsidRDefault="00F63B7A" w:rsidP="00DE248A">
      <w:pPr>
        <w:spacing w:after="240" w:line="360" w:lineRule="auto"/>
        <w:ind w:firstLine="709"/>
        <w:jc w:val="both"/>
      </w:pPr>
      <w:r w:rsidRPr="00711FEE">
        <w:lastRenderedPageBreak/>
        <w:t>Observa-se que, apesar de não ter detectado diferença no acúmulo de N entre os tratamentos, as legum</w:t>
      </w:r>
      <w:r>
        <w:t>i</w:t>
      </w:r>
      <w:r w:rsidRPr="00711FEE">
        <w:t xml:space="preserve">nosas tenderam a acumular maior quantidade de N em relação às plantas </w:t>
      </w:r>
      <w:r>
        <w:t>espontâneas (Tabela 1</w:t>
      </w:r>
      <w:r w:rsidRPr="007339C0">
        <w:t>).</w:t>
      </w:r>
      <w:r w:rsidRPr="005761F9">
        <w:t xml:space="preserve"> </w:t>
      </w:r>
    </w:p>
    <w:p w:rsidR="00F63B7A" w:rsidRPr="00711FEE" w:rsidRDefault="00F63B7A" w:rsidP="00DE248A">
      <w:pPr>
        <w:spacing w:after="240"/>
        <w:jc w:val="both"/>
      </w:pPr>
      <w:r w:rsidRPr="00274D0A">
        <w:t>Tabela 1.</w:t>
      </w:r>
      <w:r w:rsidR="00E65F0F">
        <w:t xml:space="preserve"> Massa fresca (MF),</w:t>
      </w:r>
      <w:r>
        <w:t xml:space="preserve"> massa</w:t>
      </w:r>
      <w:r w:rsidRPr="00711FEE">
        <w:t xml:space="preserve"> seca (MS)</w:t>
      </w:r>
      <w:r w:rsidR="00E65F0F">
        <w:t xml:space="preserve"> e a</w:t>
      </w:r>
      <w:r w:rsidR="00E65F0F" w:rsidRPr="00CE3E6A">
        <w:t>cúmulo de N, P, K, Ca, Mg e S</w:t>
      </w:r>
      <w:r w:rsidRPr="00711FEE">
        <w:t xml:space="preserve"> de diferentes adubos verdes cultivados em</w:t>
      </w:r>
      <w:r>
        <w:t xml:space="preserve"> consórcio com a bananeira, em </w:t>
      </w:r>
      <w:r w:rsidRPr="00711FEE">
        <w:t>Nova Alvorada do Sul, MS.</w:t>
      </w:r>
    </w:p>
    <w:tbl>
      <w:tblPr>
        <w:tblW w:w="9356" w:type="dxa"/>
        <w:tblInd w:w="108" w:type="dxa"/>
        <w:tblLayout w:type="fixed"/>
        <w:tblLook w:val="04A0"/>
      </w:tblPr>
      <w:tblGrid>
        <w:gridCol w:w="1878"/>
        <w:gridCol w:w="1076"/>
        <w:gridCol w:w="806"/>
        <w:gridCol w:w="942"/>
        <w:gridCol w:w="806"/>
        <w:gridCol w:w="941"/>
        <w:gridCol w:w="1076"/>
        <w:gridCol w:w="942"/>
        <w:gridCol w:w="38"/>
        <w:gridCol w:w="851"/>
      </w:tblGrid>
      <w:tr w:rsidR="00F63B7A" w:rsidRPr="00CE424D" w:rsidTr="00006EEC">
        <w:trPr>
          <w:trHeight w:val="213"/>
        </w:trPr>
        <w:tc>
          <w:tcPr>
            <w:tcW w:w="18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Adubos verdes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MF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MS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N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K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Ca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Mg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S</w:t>
            </w:r>
          </w:p>
        </w:tc>
      </w:tr>
      <w:tr w:rsidR="00F63B7A" w:rsidRPr="00CE424D" w:rsidTr="00006EEC">
        <w:trPr>
          <w:trHeight w:val="121"/>
        </w:trPr>
        <w:tc>
          <w:tcPr>
            <w:tcW w:w="1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........t ha</w:t>
            </w:r>
            <w:r w:rsidRPr="00657552">
              <w:rPr>
                <w:sz w:val="22"/>
                <w:szCs w:val="22"/>
                <w:vertAlign w:val="superscript"/>
              </w:rPr>
              <w:t>-1</w:t>
            </w:r>
            <w:r w:rsidRPr="00657552">
              <w:rPr>
                <w:sz w:val="22"/>
                <w:szCs w:val="22"/>
              </w:rPr>
              <w:t>.........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.........................................Kg ha</w:t>
            </w:r>
            <w:r w:rsidRPr="00657552">
              <w:rPr>
                <w:sz w:val="22"/>
                <w:szCs w:val="22"/>
                <w:vertAlign w:val="superscript"/>
              </w:rPr>
              <w:t>-1</w:t>
            </w:r>
            <w:r w:rsidRPr="00657552">
              <w:rPr>
                <w:sz w:val="22"/>
                <w:szCs w:val="22"/>
              </w:rPr>
              <w:t>..........................................</w:t>
            </w:r>
          </w:p>
        </w:tc>
      </w:tr>
      <w:tr w:rsidR="00F63B7A" w:rsidRPr="00CE424D" w:rsidTr="00006EEC">
        <w:trPr>
          <w:trHeight w:val="427"/>
        </w:trPr>
        <w:tc>
          <w:tcPr>
            <w:tcW w:w="1878" w:type="dxa"/>
            <w:tcBorders>
              <w:top w:val="single" w:sz="4" w:space="0" w:color="auto"/>
            </w:tcBorders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Amendoim-forrageiro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14,17 a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3,12 a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67,63 a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5,84 a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38,52 a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53,15 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21,38 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2,81 b</w:t>
            </w:r>
          </w:p>
        </w:tc>
      </w:tr>
      <w:tr w:rsidR="00F63B7A" w:rsidRPr="00CE424D" w:rsidTr="00006EEC">
        <w:trPr>
          <w:trHeight w:val="213"/>
        </w:trPr>
        <w:tc>
          <w:tcPr>
            <w:tcW w:w="1878" w:type="dxa"/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Cudzu-tropical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13,27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3,20 a</w:t>
            </w:r>
          </w:p>
        </w:tc>
        <w:tc>
          <w:tcPr>
            <w:tcW w:w="942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73,88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8,12 a</w:t>
            </w:r>
          </w:p>
        </w:tc>
        <w:tc>
          <w:tcPr>
            <w:tcW w:w="94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42,27 a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25,95 bc</w:t>
            </w:r>
          </w:p>
        </w:tc>
        <w:tc>
          <w:tcPr>
            <w:tcW w:w="980" w:type="dxa"/>
            <w:gridSpan w:val="2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10,23 b</w:t>
            </w:r>
          </w:p>
        </w:tc>
        <w:tc>
          <w:tcPr>
            <w:tcW w:w="85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3,35 b</w:t>
            </w:r>
          </w:p>
        </w:tc>
      </w:tr>
      <w:tr w:rsidR="00F63B7A" w:rsidRPr="00CE424D" w:rsidTr="00006EEC">
        <w:trPr>
          <w:trHeight w:val="213"/>
        </w:trPr>
        <w:tc>
          <w:tcPr>
            <w:tcW w:w="1878" w:type="dxa"/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Calopogônio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15,28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3,41 a</w:t>
            </w:r>
          </w:p>
        </w:tc>
        <w:tc>
          <w:tcPr>
            <w:tcW w:w="942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78,70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7,48 a</w:t>
            </w:r>
          </w:p>
        </w:tc>
        <w:tc>
          <w:tcPr>
            <w:tcW w:w="94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53,70 a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23,23 bc</w:t>
            </w:r>
          </w:p>
        </w:tc>
        <w:tc>
          <w:tcPr>
            <w:tcW w:w="980" w:type="dxa"/>
            <w:gridSpan w:val="2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9,85 b</w:t>
            </w:r>
          </w:p>
        </w:tc>
        <w:tc>
          <w:tcPr>
            <w:tcW w:w="85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3,37 b</w:t>
            </w:r>
          </w:p>
        </w:tc>
      </w:tr>
      <w:tr w:rsidR="00F63B7A" w:rsidRPr="00CE424D" w:rsidTr="00006EEC">
        <w:trPr>
          <w:trHeight w:val="213"/>
        </w:trPr>
        <w:tc>
          <w:tcPr>
            <w:tcW w:w="1878" w:type="dxa"/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Estilosantes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17,38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4,11 a</w:t>
            </w:r>
          </w:p>
        </w:tc>
        <w:tc>
          <w:tcPr>
            <w:tcW w:w="942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91,88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7,02 a</w:t>
            </w:r>
          </w:p>
        </w:tc>
        <w:tc>
          <w:tcPr>
            <w:tcW w:w="94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30,63 a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41,74 ab</w:t>
            </w:r>
          </w:p>
        </w:tc>
        <w:tc>
          <w:tcPr>
            <w:tcW w:w="980" w:type="dxa"/>
            <w:gridSpan w:val="2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14,23 ab</w:t>
            </w:r>
          </w:p>
        </w:tc>
        <w:tc>
          <w:tcPr>
            <w:tcW w:w="85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3,96 b</w:t>
            </w:r>
          </w:p>
        </w:tc>
      </w:tr>
      <w:tr w:rsidR="00F63B7A" w:rsidRPr="00CE424D" w:rsidTr="00006EEC">
        <w:trPr>
          <w:trHeight w:val="427"/>
        </w:trPr>
        <w:tc>
          <w:tcPr>
            <w:tcW w:w="1878" w:type="dxa"/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Cudzu + Calopogônio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14,99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3,74 a</w:t>
            </w:r>
          </w:p>
        </w:tc>
        <w:tc>
          <w:tcPr>
            <w:tcW w:w="942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89,32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8,06 a</w:t>
            </w:r>
          </w:p>
        </w:tc>
        <w:tc>
          <w:tcPr>
            <w:tcW w:w="94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51,30 a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25,80 bc</w:t>
            </w:r>
          </w:p>
        </w:tc>
        <w:tc>
          <w:tcPr>
            <w:tcW w:w="980" w:type="dxa"/>
            <w:gridSpan w:val="2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9,55 b</w:t>
            </w:r>
          </w:p>
        </w:tc>
        <w:tc>
          <w:tcPr>
            <w:tcW w:w="85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4,03 b</w:t>
            </w:r>
          </w:p>
        </w:tc>
      </w:tr>
      <w:tr w:rsidR="00F63B7A" w:rsidRPr="00CE424D" w:rsidTr="00C007CC">
        <w:trPr>
          <w:trHeight w:val="213"/>
        </w:trPr>
        <w:tc>
          <w:tcPr>
            <w:tcW w:w="1878" w:type="dxa"/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Feijão-de-porco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15,16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3,80 a</w:t>
            </w:r>
          </w:p>
        </w:tc>
        <w:tc>
          <w:tcPr>
            <w:tcW w:w="942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90,68 a</w:t>
            </w:r>
          </w:p>
        </w:tc>
        <w:tc>
          <w:tcPr>
            <w:tcW w:w="80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6,90 a</w:t>
            </w:r>
          </w:p>
        </w:tc>
        <w:tc>
          <w:tcPr>
            <w:tcW w:w="94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36,09 a</w:t>
            </w:r>
          </w:p>
        </w:tc>
        <w:tc>
          <w:tcPr>
            <w:tcW w:w="1076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33,68 ab</w:t>
            </w:r>
          </w:p>
        </w:tc>
        <w:tc>
          <w:tcPr>
            <w:tcW w:w="980" w:type="dxa"/>
            <w:gridSpan w:val="2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10,98 b</w:t>
            </w:r>
          </w:p>
        </w:tc>
        <w:tc>
          <w:tcPr>
            <w:tcW w:w="851" w:type="dxa"/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4,23 b</w:t>
            </w:r>
          </w:p>
        </w:tc>
      </w:tr>
      <w:tr w:rsidR="00F63B7A" w:rsidRPr="00CE424D" w:rsidTr="00C007CC">
        <w:trPr>
          <w:trHeight w:val="213"/>
        </w:trPr>
        <w:tc>
          <w:tcPr>
            <w:tcW w:w="1878" w:type="dxa"/>
            <w:tcBorders>
              <w:bottom w:val="single" w:sz="4" w:space="0" w:color="auto"/>
            </w:tcBorders>
          </w:tcPr>
          <w:p w:rsidR="00F63B7A" w:rsidRPr="00657552" w:rsidRDefault="00F63B7A" w:rsidP="00265298">
            <w:pPr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Plantas espontâneas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11,64 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3,52 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51,68 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5,57 a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45,08 a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6,46 c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10,42 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63B7A" w:rsidRPr="00657552" w:rsidRDefault="00F63B7A" w:rsidP="00006EEC">
            <w:pPr>
              <w:jc w:val="center"/>
              <w:rPr>
                <w:sz w:val="22"/>
                <w:szCs w:val="22"/>
              </w:rPr>
            </w:pPr>
            <w:r w:rsidRPr="00657552">
              <w:rPr>
                <w:sz w:val="22"/>
                <w:szCs w:val="22"/>
              </w:rPr>
              <w:t>7,10 a</w:t>
            </w:r>
          </w:p>
        </w:tc>
      </w:tr>
    </w:tbl>
    <w:p w:rsidR="00F63B7A" w:rsidRPr="005761F9" w:rsidRDefault="00F63B7A" w:rsidP="00F63B7A">
      <w:pPr>
        <w:spacing w:before="60" w:after="240"/>
        <w:jc w:val="both"/>
        <w:rPr>
          <w:sz w:val="20"/>
          <w:szCs w:val="20"/>
        </w:rPr>
      </w:pPr>
      <w:r w:rsidRPr="005761F9">
        <w:rPr>
          <w:sz w:val="20"/>
          <w:szCs w:val="20"/>
        </w:rPr>
        <w:t>Médias seguidas pela mesma letra na coluna não diferem entre si, ao nível de 5% de probabilidade pelo teste Tukey.</w:t>
      </w:r>
    </w:p>
    <w:p w:rsidR="00F63B7A" w:rsidRDefault="00F63B7A" w:rsidP="00E65F0F">
      <w:pPr>
        <w:spacing w:line="360" w:lineRule="auto"/>
        <w:ind w:firstLine="709"/>
        <w:jc w:val="both"/>
      </w:pPr>
      <w:r>
        <w:t xml:space="preserve">Observa-se que na avaliação inicial do crescimento da bananeira, o feijão-de-porco proporcionou menor altura de planta, número de folhas e diâmetro do pseudocaule (Tabela 2). </w:t>
      </w:r>
      <w:r w:rsidRPr="00657552">
        <w:rPr>
          <w:color w:val="FF0000"/>
        </w:rPr>
        <w:t xml:space="preserve"> </w:t>
      </w:r>
      <w:r w:rsidRPr="00F443AA">
        <w:t>O feijão-de-porco é o único adubo verde que não é perene, portanto uma vez manejado/cortado ele não permanece, isso implica no desenvolvimento da bananeira</w:t>
      </w:r>
      <w:r>
        <w:t>,</w:t>
      </w:r>
      <w:r w:rsidRPr="00F443AA">
        <w:t xml:space="preserve"> pois </w:t>
      </w:r>
      <w:r>
        <w:t xml:space="preserve">a manutenção da cobertura no solo </w:t>
      </w:r>
      <w:r w:rsidRPr="00F443AA">
        <w:t>cria</w:t>
      </w:r>
      <w:r>
        <w:t xml:space="preserve"> condições</w:t>
      </w:r>
      <w:r w:rsidRPr="006456E4">
        <w:t xml:space="preserve"> favoráveis ao aumento da diversidade de organismos</w:t>
      </w:r>
      <w:r>
        <w:t xml:space="preserve">, </w:t>
      </w:r>
      <w:r w:rsidRPr="006456E4">
        <w:t>além de promover o enriquecimento com nutrientes, decorrente da ciclagem</w:t>
      </w:r>
      <w:r w:rsidR="00745A44">
        <w:t>, contribuindo</w:t>
      </w:r>
      <w:r w:rsidR="006A4D90">
        <w:t xml:space="preserve"> assim </w:t>
      </w:r>
      <w:r w:rsidR="00745A44">
        <w:t xml:space="preserve"> no bom desempenho da bananeira</w:t>
      </w:r>
      <w:r w:rsidRPr="006456E4">
        <w:t xml:space="preserve"> (Neves, 2007). </w:t>
      </w:r>
    </w:p>
    <w:p w:rsidR="00745A44" w:rsidRDefault="00745A44" w:rsidP="00745A44">
      <w:pPr>
        <w:spacing w:line="360" w:lineRule="auto"/>
        <w:ind w:firstLine="709"/>
        <w:jc w:val="both"/>
      </w:pPr>
      <w:r>
        <w:t>No número de folhas emitidas das bananeiras observa-se a grande influência da cobertura com feijão-de-porco e de calopogônio em relação ao amendoim-forrageiro (Tabela 2). Todavia Espindola et al. (2006), trabalhando com adubos verdes perenes em consorcio com bananeiras, encontrou na presença de cudzu-tropical resultados mais rápidos no crescimento vegetativo da bananeira, assim como maior número de folhas.</w:t>
      </w:r>
      <w:r w:rsidRPr="005F247F">
        <w:t xml:space="preserve"> </w:t>
      </w:r>
    </w:p>
    <w:p w:rsidR="00745A44" w:rsidRPr="00DB555F" w:rsidRDefault="00DB555F" w:rsidP="00A12EFD">
      <w:pPr>
        <w:autoSpaceDE w:val="0"/>
        <w:autoSpaceDN w:val="0"/>
        <w:adjustRightInd w:val="0"/>
        <w:spacing w:after="240" w:line="360" w:lineRule="auto"/>
        <w:jc w:val="both"/>
      </w:pPr>
      <w:r>
        <w:tab/>
      </w:r>
      <w:r w:rsidR="00745A44">
        <w:t xml:space="preserve">Observa-se na tabela 2, que apesar de não obter diferença significativa dos demais adubos verdes na fase inicial, o amendoim-forrageiro foi o adubo verde que touxe menor incremento no desenvolvimento vegetal final da </w:t>
      </w:r>
      <w:r w:rsidR="00154DE5">
        <w:t xml:space="preserve">bananeira, após o manejo. Provavelmente </w:t>
      </w:r>
      <w:r>
        <w:t xml:space="preserve">a </w:t>
      </w:r>
      <w:r w:rsidR="00745A44">
        <w:t xml:space="preserve">característica de ser uma leguminosa com </w:t>
      </w:r>
      <w:r>
        <w:t xml:space="preserve">baixa relação C/N ou </w:t>
      </w:r>
      <w:r w:rsidR="00745A44">
        <w:t>decomposição acelerada</w:t>
      </w:r>
      <w:r w:rsidR="004E3D6C">
        <w:t>, em relação as demais utilizadas no experimento</w:t>
      </w:r>
      <w:r w:rsidR="00745A44">
        <w:t>,</w:t>
      </w:r>
      <w:r w:rsidR="004E3D6C">
        <w:t xml:space="preserve"> explica o</w:t>
      </w:r>
      <w:r w:rsidR="00745A44">
        <w:t xml:space="preserve"> fato.</w:t>
      </w:r>
      <w:r w:rsidR="004E3D6C">
        <w:t xml:space="preserve"> </w:t>
      </w:r>
      <w:r w:rsidR="00574664" w:rsidRPr="00DB555F">
        <w:t xml:space="preserve">Além da relação C/N, as proporções dos carboidratos </w:t>
      </w:r>
      <w:r w:rsidR="00574664" w:rsidRPr="00DB555F">
        <w:lastRenderedPageBreak/>
        <w:t>estruturais e lignina também podem ser alteradas nos resíduos culturais de espécies consorciadas</w:t>
      </w:r>
      <w:r>
        <w:t xml:space="preserve"> (Aita &amp; Giacomini, 2003).</w:t>
      </w:r>
    </w:p>
    <w:p w:rsidR="005F247F" w:rsidRPr="007339C0" w:rsidRDefault="005F247F" w:rsidP="00DE248A">
      <w:pPr>
        <w:jc w:val="both"/>
      </w:pPr>
      <w:r>
        <w:t>Tabela 2. Análise de crescimento da bananeira consorciada com diferentes adubos verdes perenes</w:t>
      </w:r>
      <w:r w:rsidR="00DE248A">
        <w:t>, no município de Nova Alvorada do Sul, MS</w:t>
      </w:r>
      <w:r>
        <w:t>.</w:t>
      </w:r>
    </w:p>
    <w:tbl>
      <w:tblPr>
        <w:tblW w:w="9356" w:type="dxa"/>
        <w:tblInd w:w="108" w:type="dxa"/>
        <w:tblLayout w:type="fixed"/>
        <w:tblLook w:val="04A0"/>
      </w:tblPr>
      <w:tblGrid>
        <w:gridCol w:w="2417"/>
        <w:gridCol w:w="1261"/>
        <w:gridCol w:w="1262"/>
        <w:gridCol w:w="1048"/>
        <w:gridCol w:w="993"/>
        <w:gridCol w:w="1044"/>
        <w:gridCol w:w="1331"/>
      </w:tblGrid>
      <w:tr w:rsidR="005F247F" w:rsidRPr="00714794" w:rsidTr="005F247F">
        <w:trPr>
          <w:trHeight w:val="1126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</w:p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Adubos verdes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</w:p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Altura de plantas</w:t>
            </w:r>
          </w:p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(cm)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</w:p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Número de folhas vivas</w:t>
            </w:r>
          </w:p>
          <w:p w:rsidR="005F247F" w:rsidRPr="005F247F" w:rsidRDefault="005F247F" w:rsidP="0026529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Diâmetro do pseudocaule</w:t>
            </w:r>
          </w:p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(cm)</w:t>
            </w:r>
          </w:p>
        </w:tc>
      </w:tr>
      <w:tr w:rsidR="005F247F" w:rsidRPr="00714794" w:rsidTr="00C007CC">
        <w:trPr>
          <w:trHeight w:val="65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Inicial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Final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Inicial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Final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Inicial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Final</w:t>
            </w:r>
          </w:p>
        </w:tc>
      </w:tr>
      <w:tr w:rsidR="005F247F" w:rsidRPr="00714794" w:rsidTr="00C007CC">
        <w:trPr>
          <w:trHeight w:val="253"/>
        </w:trPr>
        <w:tc>
          <w:tcPr>
            <w:tcW w:w="2417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Amendoim-forrageiro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86,50 ab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125,12 b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11,62 ab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10,8 b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33,43 ab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39,75 c</w:t>
            </w:r>
          </w:p>
        </w:tc>
      </w:tr>
      <w:tr w:rsidR="005F247F" w:rsidRPr="00714794" w:rsidTr="00C007CC">
        <w:trPr>
          <w:trHeight w:val="267"/>
        </w:trPr>
        <w:tc>
          <w:tcPr>
            <w:tcW w:w="2417" w:type="dxa"/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Cudzu-tropical</w:t>
            </w:r>
          </w:p>
        </w:tc>
        <w:tc>
          <w:tcPr>
            <w:tcW w:w="126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102,81 ab</w:t>
            </w:r>
          </w:p>
        </w:tc>
        <w:tc>
          <w:tcPr>
            <w:tcW w:w="1262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158,94 ab</w:t>
            </w:r>
          </w:p>
        </w:tc>
        <w:tc>
          <w:tcPr>
            <w:tcW w:w="1048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11,56 ab</w:t>
            </w:r>
          </w:p>
        </w:tc>
        <w:tc>
          <w:tcPr>
            <w:tcW w:w="993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14,2 a</w:t>
            </w:r>
          </w:p>
        </w:tc>
        <w:tc>
          <w:tcPr>
            <w:tcW w:w="1044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37,62 ab</w:t>
            </w:r>
          </w:p>
        </w:tc>
        <w:tc>
          <w:tcPr>
            <w:tcW w:w="133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55,68 ab</w:t>
            </w:r>
          </w:p>
        </w:tc>
      </w:tr>
      <w:tr w:rsidR="005F247F" w:rsidRPr="00714794" w:rsidTr="00C007CC">
        <w:trPr>
          <w:trHeight w:val="253"/>
        </w:trPr>
        <w:tc>
          <w:tcPr>
            <w:tcW w:w="2417" w:type="dxa"/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Calopogônio</w:t>
            </w:r>
          </w:p>
        </w:tc>
        <w:tc>
          <w:tcPr>
            <w:tcW w:w="126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101,56 ab</w:t>
            </w:r>
          </w:p>
        </w:tc>
        <w:tc>
          <w:tcPr>
            <w:tcW w:w="1262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171,75 a</w:t>
            </w:r>
          </w:p>
        </w:tc>
        <w:tc>
          <w:tcPr>
            <w:tcW w:w="1048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11,87 ab</w:t>
            </w:r>
          </w:p>
        </w:tc>
        <w:tc>
          <w:tcPr>
            <w:tcW w:w="993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13,8 ab</w:t>
            </w:r>
          </w:p>
        </w:tc>
        <w:tc>
          <w:tcPr>
            <w:tcW w:w="1044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37,50 ab</w:t>
            </w:r>
          </w:p>
        </w:tc>
        <w:tc>
          <w:tcPr>
            <w:tcW w:w="133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61,94 a</w:t>
            </w:r>
          </w:p>
        </w:tc>
      </w:tr>
      <w:tr w:rsidR="005F247F" w:rsidRPr="00714794" w:rsidTr="00C007CC">
        <w:trPr>
          <w:trHeight w:val="253"/>
        </w:trPr>
        <w:tc>
          <w:tcPr>
            <w:tcW w:w="2417" w:type="dxa"/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Estilosantes</w:t>
            </w:r>
          </w:p>
        </w:tc>
        <w:tc>
          <w:tcPr>
            <w:tcW w:w="126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96,62 ab</w:t>
            </w:r>
          </w:p>
        </w:tc>
        <w:tc>
          <w:tcPr>
            <w:tcW w:w="1262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147,43 ab</w:t>
            </w:r>
          </w:p>
        </w:tc>
        <w:tc>
          <w:tcPr>
            <w:tcW w:w="1048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12,25 ab</w:t>
            </w:r>
          </w:p>
        </w:tc>
        <w:tc>
          <w:tcPr>
            <w:tcW w:w="993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12,4 ab</w:t>
            </w:r>
          </w:p>
        </w:tc>
        <w:tc>
          <w:tcPr>
            <w:tcW w:w="1044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35,00 ab</w:t>
            </w:r>
          </w:p>
        </w:tc>
        <w:tc>
          <w:tcPr>
            <w:tcW w:w="133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48,31 bc</w:t>
            </w:r>
          </w:p>
        </w:tc>
      </w:tr>
      <w:tr w:rsidR="005F247F" w:rsidRPr="00714794" w:rsidTr="00C007CC">
        <w:trPr>
          <w:trHeight w:val="267"/>
        </w:trPr>
        <w:tc>
          <w:tcPr>
            <w:tcW w:w="2417" w:type="dxa"/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Cudzu +Calopogônio</w:t>
            </w:r>
          </w:p>
        </w:tc>
        <w:tc>
          <w:tcPr>
            <w:tcW w:w="126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108,81 ab</w:t>
            </w:r>
          </w:p>
        </w:tc>
        <w:tc>
          <w:tcPr>
            <w:tcW w:w="1262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171,93 a</w:t>
            </w:r>
          </w:p>
        </w:tc>
        <w:tc>
          <w:tcPr>
            <w:tcW w:w="1048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12,43 ab</w:t>
            </w:r>
          </w:p>
        </w:tc>
        <w:tc>
          <w:tcPr>
            <w:tcW w:w="993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13,0 ab</w:t>
            </w:r>
          </w:p>
        </w:tc>
        <w:tc>
          <w:tcPr>
            <w:tcW w:w="1044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40,75 a</w:t>
            </w:r>
          </w:p>
        </w:tc>
        <w:tc>
          <w:tcPr>
            <w:tcW w:w="133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54,94 ab</w:t>
            </w:r>
          </w:p>
        </w:tc>
      </w:tr>
      <w:tr w:rsidR="005F247F" w:rsidRPr="00714794" w:rsidTr="00C007CC">
        <w:trPr>
          <w:trHeight w:val="253"/>
        </w:trPr>
        <w:tc>
          <w:tcPr>
            <w:tcW w:w="2417" w:type="dxa"/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Feijão-de-porco</w:t>
            </w:r>
          </w:p>
        </w:tc>
        <w:tc>
          <w:tcPr>
            <w:tcW w:w="126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65,06 b</w:t>
            </w:r>
          </w:p>
        </w:tc>
        <w:tc>
          <w:tcPr>
            <w:tcW w:w="1262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141,56 ab</w:t>
            </w:r>
          </w:p>
        </w:tc>
        <w:tc>
          <w:tcPr>
            <w:tcW w:w="1048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9,75 b</w:t>
            </w:r>
          </w:p>
        </w:tc>
        <w:tc>
          <w:tcPr>
            <w:tcW w:w="993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14,68 a</w:t>
            </w:r>
          </w:p>
        </w:tc>
        <w:tc>
          <w:tcPr>
            <w:tcW w:w="1044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22,37 b</w:t>
            </w:r>
          </w:p>
        </w:tc>
        <w:tc>
          <w:tcPr>
            <w:tcW w:w="133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48,37 bc</w:t>
            </w:r>
          </w:p>
        </w:tc>
      </w:tr>
      <w:tr w:rsidR="005F247F" w:rsidRPr="00714794" w:rsidTr="00C007CC">
        <w:trPr>
          <w:trHeight w:val="267"/>
        </w:trPr>
        <w:tc>
          <w:tcPr>
            <w:tcW w:w="2417" w:type="dxa"/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Plantas espontâneas</w:t>
            </w:r>
          </w:p>
        </w:tc>
        <w:tc>
          <w:tcPr>
            <w:tcW w:w="126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104,31 ab</w:t>
            </w:r>
          </w:p>
        </w:tc>
        <w:tc>
          <w:tcPr>
            <w:tcW w:w="1262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138,94 ab</w:t>
            </w:r>
          </w:p>
        </w:tc>
        <w:tc>
          <w:tcPr>
            <w:tcW w:w="1048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12,75 a</w:t>
            </w:r>
          </w:p>
        </w:tc>
        <w:tc>
          <w:tcPr>
            <w:tcW w:w="993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12,4 ab</w:t>
            </w:r>
          </w:p>
        </w:tc>
        <w:tc>
          <w:tcPr>
            <w:tcW w:w="1044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38,94 a</w:t>
            </w:r>
          </w:p>
        </w:tc>
        <w:tc>
          <w:tcPr>
            <w:tcW w:w="1331" w:type="dxa"/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47,62 bc</w:t>
            </w:r>
          </w:p>
        </w:tc>
      </w:tr>
      <w:tr w:rsidR="005F247F" w:rsidRPr="00714794" w:rsidTr="00C007CC">
        <w:trPr>
          <w:trHeight w:val="393"/>
        </w:trPr>
        <w:tc>
          <w:tcPr>
            <w:tcW w:w="2417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Parcela capinada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113,94 a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169,06 a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12,43 ab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12,4 ab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43,25 a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F247F" w:rsidRPr="005F247F" w:rsidRDefault="005F247F" w:rsidP="00265298">
            <w:pPr>
              <w:jc w:val="center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54,25 ab</w:t>
            </w:r>
          </w:p>
        </w:tc>
      </w:tr>
    </w:tbl>
    <w:p w:rsidR="005F247F" w:rsidRPr="005761F9" w:rsidRDefault="005F247F" w:rsidP="005F247F">
      <w:pPr>
        <w:spacing w:before="60" w:after="240"/>
        <w:jc w:val="both"/>
        <w:rPr>
          <w:sz w:val="20"/>
          <w:szCs w:val="20"/>
        </w:rPr>
      </w:pPr>
      <w:r w:rsidRPr="005761F9">
        <w:rPr>
          <w:sz w:val="20"/>
          <w:szCs w:val="20"/>
        </w:rPr>
        <w:t>Médias seguidas pela mesma letra na coluna não diferem entre si, ao nível de 5% de probabilidade pelo teste Tukey.</w:t>
      </w:r>
    </w:p>
    <w:p w:rsidR="00F63B7A" w:rsidRDefault="00F63B7A" w:rsidP="005F247F">
      <w:pPr>
        <w:pStyle w:val="NormalWeb"/>
        <w:tabs>
          <w:tab w:val="left" w:pos="6045"/>
        </w:tabs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A4B">
        <w:rPr>
          <w:rFonts w:ascii="Times New Roman" w:hAnsi="Times New Roman"/>
          <w:sz w:val="24"/>
          <w:szCs w:val="24"/>
        </w:rPr>
        <w:t>Os resultados obtidos neste trabalho apontam que os adubos verdes podem trazer grandes benefícios a cultura da bananeira, porém a escolha correta da leguminosa é um fator decisivo no sucesso do empreendimento. Espera se no entanto, que no decorrer das próximas avaliações deste experimento, identificar a espécie de adubo</w:t>
      </w:r>
      <w:r w:rsidR="000F6E66">
        <w:rPr>
          <w:rFonts w:ascii="Times New Roman" w:hAnsi="Times New Roman"/>
          <w:sz w:val="24"/>
          <w:szCs w:val="24"/>
        </w:rPr>
        <w:t>s</w:t>
      </w:r>
      <w:r w:rsidRPr="00CE3A4B">
        <w:rPr>
          <w:rFonts w:ascii="Times New Roman" w:hAnsi="Times New Roman"/>
          <w:sz w:val="24"/>
          <w:szCs w:val="24"/>
        </w:rPr>
        <w:t xml:space="preserve"> verde</w:t>
      </w:r>
      <w:r w:rsidR="000F6E66">
        <w:rPr>
          <w:rFonts w:ascii="Times New Roman" w:hAnsi="Times New Roman"/>
          <w:sz w:val="24"/>
          <w:szCs w:val="24"/>
        </w:rPr>
        <w:t>s</w:t>
      </w:r>
      <w:r w:rsidRPr="00CE3A4B">
        <w:rPr>
          <w:rFonts w:ascii="Times New Roman" w:hAnsi="Times New Roman"/>
          <w:sz w:val="24"/>
          <w:szCs w:val="24"/>
        </w:rPr>
        <w:t xml:space="preserve"> que possa proporcionar melhores características físicas, químicas e biológicas </w:t>
      </w:r>
      <w:r>
        <w:rPr>
          <w:rFonts w:ascii="Times New Roman" w:hAnsi="Times New Roman"/>
          <w:sz w:val="24"/>
          <w:szCs w:val="24"/>
        </w:rPr>
        <w:t>n</w:t>
      </w:r>
      <w:r w:rsidRPr="00CE3A4B">
        <w:rPr>
          <w:rFonts w:ascii="Times New Roman" w:hAnsi="Times New Roman"/>
          <w:sz w:val="24"/>
          <w:szCs w:val="24"/>
        </w:rPr>
        <w:t>o solo, resultando em melhor desenvolvimento da bananeira.</w:t>
      </w:r>
    </w:p>
    <w:p w:rsidR="00F63B7A" w:rsidRPr="00CE3A4B" w:rsidRDefault="00F63B7A" w:rsidP="005F247F">
      <w:pPr>
        <w:pStyle w:val="NormalWeb"/>
        <w:tabs>
          <w:tab w:val="left" w:pos="6045"/>
        </w:tabs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3B7A" w:rsidRPr="007339C0" w:rsidRDefault="00F63B7A" w:rsidP="00F63B7A">
      <w:pPr>
        <w:pStyle w:val="NormalWeb"/>
        <w:spacing w:before="0" w:after="0" w:line="360" w:lineRule="auto"/>
        <w:rPr>
          <w:rFonts w:ascii="Times New Roman" w:hAnsi="Times New Roman"/>
          <w:b/>
          <w:sz w:val="24"/>
          <w:szCs w:val="24"/>
        </w:rPr>
      </w:pPr>
      <w:r w:rsidRPr="007339C0">
        <w:rPr>
          <w:rFonts w:ascii="Times New Roman" w:hAnsi="Times New Roman"/>
          <w:b/>
          <w:sz w:val="24"/>
          <w:szCs w:val="24"/>
        </w:rPr>
        <w:t>Conclusão</w:t>
      </w:r>
    </w:p>
    <w:p w:rsidR="00F63B7A" w:rsidRPr="007339C0" w:rsidRDefault="00F63B7A" w:rsidP="005F247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C0">
        <w:rPr>
          <w:rFonts w:ascii="Times New Roman" w:hAnsi="Times New Roman"/>
          <w:sz w:val="24"/>
          <w:szCs w:val="24"/>
        </w:rPr>
        <w:t>Os adubos verdes perenes apresentaram desempenho semelhante quanto a produção de fitomassa.</w:t>
      </w:r>
    </w:p>
    <w:p w:rsidR="00F63B7A" w:rsidRDefault="00F63B7A" w:rsidP="005F247F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C0">
        <w:rPr>
          <w:rFonts w:ascii="Times New Roman" w:hAnsi="Times New Roman"/>
          <w:sz w:val="24"/>
          <w:szCs w:val="24"/>
        </w:rPr>
        <w:t>O amendoim forrageiro e estilosantes destacaram na reciclagem de Ca e Mg.</w:t>
      </w:r>
    </w:p>
    <w:p w:rsidR="00F63B7A" w:rsidRDefault="009B68EF" w:rsidP="00F63B7A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amendoim forrageiro trouxe menor incremento no crescimento da bananeira.</w:t>
      </w:r>
    </w:p>
    <w:p w:rsidR="00D90EB6" w:rsidRDefault="00D90EB6" w:rsidP="00F63B7A">
      <w:pPr>
        <w:pStyle w:val="NormalWeb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3B7A" w:rsidRPr="007339C0" w:rsidRDefault="00F63B7A" w:rsidP="00DB555F">
      <w:pPr>
        <w:pStyle w:val="NormalWeb"/>
        <w:spacing w:before="0" w:line="360" w:lineRule="auto"/>
        <w:rPr>
          <w:rFonts w:ascii="Times New Roman" w:hAnsi="Times New Roman"/>
          <w:sz w:val="24"/>
          <w:szCs w:val="24"/>
        </w:rPr>
      </w:pPr>
      <w:r w:rsidRPr="007339C0">
        <w:rPr>
          <w:rFonts w:ascii="Times New Roman" w:hAnsi="Times New Roman"/>
          <w:b/>
          <w:sz w:val="24"/>
          <w:szCs w:val="24"/>
        </w:rPr>
        <w:t xml:space="preserve">Referências Bibliográficas </w:t>
      </w:r>
    </w:p>
    <w:p w:rsidR="00DB555F" w:rsidRDefault="00DB555F" w:rsidP="00A12EFD">
      <w:pPr>
        <w:autoSpaceDE w:val="0"/>
        <w:spacing w:after="100" w:line="360" w:lineRule="auto"/>
        <w:jc w:val="both"/>
        <w:rPr>
          <w:color w:val="292526"/>
          <w:lang w:eastAsia="en-US"/>
        </w:rPr>
      </w:pPr>
      <w:r w:rsidRPr="00A12854">
        <w:rPr>
          <w:caps/>
        </w:rPr>
        <w:t>Aita</w:t>
      </w:r>
      <w:r>
        <w:rPr>
          <w:caps/>
        </w:rPr>
        <w:t xml:space="preserve">, </w:t>
      </w:r>
      <w:r w:rsidRPr="00A12854">
        <w:rPr>
          <w:caps/>
        </w:rPr>
        <w:t>C.;</w:t>
      </w:r>
      <w:r>
        <w:rPr>
          <w:caps/>
        </w:rPr>
        <w:t xml:space="preserve"> </w:t>
      </w:r>
      <w:r w:rsidRPr="00A12854">
        <w:rPr>
          <w:caps/>
        </w:rPr>
        <w:t>Giacomini,</w:t>
      </w:r>
      <w:r>
        <w:rPr>
          <w:caps/>
        </w:rPr>
        <w:t xml:space="preserve"> </w:t>
      </w:r>
      <w:r w:rsidRPr="00A12854">
        <w:rPr>
          <w:caps/>
        </w:rPr>
        <w:t>S.J.</w:t>
      </w:r>
      <w:r w:rsidRPr="00A12854">
        <w:t xml:space="preserve"> </w:t>
      </w:r>
      <w:r w:rsidRPr="00A12854">
        <w:rPr>
          <w:b/>
        </w:rPr>
        <w:t xml:space="preserve">Decomposição e liberação de Nitrogênio de residuos culturais de plantas de cobertura de solo solteiras e </w:t>
      </w:r>
      <w:r>
        <w:rPr>
          <w:b/>
        </w:rPr>
        <w:t>consorciadas</w:t>
      </w:r>
      <w:r>
        <w:t xml:space="preserve">, Brasil. </w:t>
      </w:r>
      <w:r>
        <w:rPr>
          <w:rFonts w:eastAsia="Calibri"/>
          <w:color w:val="292526"/>
          <w:lang w:eastAsia="en-US"/>
        </w:rPr>
        <w:t>Revista</w:t>
      </w:r>
      <w:r>
        <w:rPr>
          <w:color w:val="292526"/>
          <w:lang w:eastAsia="en-US"/>
        </w:rPr>
        <w:t xml:space="preserve"> Brasileira de Ciência do Solo, 27:601-612, 2003.</w:t>
      </w:r>
    </w:p>
    <w:p w:rsidR="00DB555F" w:rsidRDefault="00DB555F" w:rsidP="00A12EFD">
      <w:pPr>
        <w:spacing w:line="360" w:lineRule="auto"/>
        <w:jc w:val="both"/>
      </w:pPr>
      <w:r w:rsidRPr="00B5581D">
        <w:lastRenderedPageBreak/>
        <w:t xml:space="preserve">CALEGARI, A.; </w:t>
      </w:r>
      <w:r w:rsidRPr="00B5581D">
        <w:rPr>
          <w:caps/>
        </w:rPr>
        <w:t xml:space="preserve">mondardo, a.; bulisani, e. a.; wildner, l. p.; costa, m. b. b.; alcântara, p. b.; miyasaka, s.; amado, t. j. c. </w:t>
      </w:r>
      <w:r w:rsidRPr="00B5581D">
        <w:rPr>
          <w:b/>
        </w:rPr>
        <w:t>Adubação verde no sul do Brasil.</w:t>
      </w:r>
      <w:r w:rsidRPr="00B5581D">
        <w:t xml:space="preserve"> Rio de Janeiro: AS-PTA, 1993. 346 p.</w:t>
      </w:r>
    </w:p>
    <w:p w:rsidR="00DB555F" w:rsidRDefault="00DB555F" w:rsidP="00A12EFD">
      <w:pPr>
        <w:spacing w:line="360" w:lineRule="auto"/>
        <w:jc w:val="both"/>
      </w:pPr>
    </w:p>
    <w:p w:rsidR="00DB555F" w:rsidRDefault="00DB555F" w:rsidP="00A12EFD">
      <w:pPr>
        <w:spacing w:line="360" w:lineRule="auto"/>
        <w:jc w:val="both"/>
      </w:pPr>
      <w:r w:rsidRPr="006456E4">
        <w:t>ESPINDOLA, J. A. A.</w:t>
      </w:r>
      <w:r w:rsidRPr="006456E4">
        <w:rPr>
          <w:b/>
        </w:rPr>
        <w:t xml:space="preserve"> Avaliação de leguminosas herbáceas perenes usadas como cobertura viva do solo e sua influência sobre a produção da bananeira</w:t>
      </w:r>
      <w:r w:rsidRPr="006456E4">
        <w:t>. 2001. 137 p. Tese (Doutorado em Ciência do Solo) - Universidade Federal Rural do Rio de Janeiro, Seropédica, RJ. 2001.</w:t>
      </w:r>
    </w:p>
    <w:p w:rsidR="00DB555F" w:rsidRDefault="00DB555F" w:rsidP="00A12EFD">
      <w:pPr>
        <w:spacing w:line="360" w:lineRule="auto"/>
        <w:jc w:val="both"/>
      </w:pPr>
    </w:p>
    <w:p w:rsidR="00DB555F" w:rsidRDefault="00DB555F" w:rsidP="00A12EFD">
      <w:pPr>
        <w:autoSpaceDE w:val="0"/>
        <w:autoSpaceDN w:val="0"/>
        <w:adjustRightInd w:val="0"/>
        <w:spacing w:line="360" w:lineRule="auto"/>
        <w:jc w:val="both"/>
      </w:pPr>
      <w:r w:rsidRPr="008C2874">
        <w:t>ESPINDOLA, J.A.A.; GUERRA, J.G.M.; PERIN, A.;</w:t>
      </w:r>
      <w:r>
        <w:t xml:space="preserve"> </w:t>
      </w:r>
      <w:r w:rsidRPr="008C2874">
        <w:t>TEIXEIRA, M.G.; ALMEIDA, D.L.; URQUIAGA, S.;</w:t>
      </w:r>
      <w:r>
        <w:t xml:space="preserve"> </w:t>
      </w:r>
      <w:r w:rsidRPr="008C2874">
        <w:t>BUSQUET, R.B. Bananeiras consorciadas com</w:t>
      </w:r>
      <w:r>
        <w:t xml:space="preserve"> </w:t>
      </w:r>
      <w:r w:rsidRPr="008C2874">
        <w:t>leguminosas herbáceas perenes utilizadas como</w:t>
      </w:r>
      <w:r>
        <w:t xml:space="preserve"> </w:t>
      </w:r>
      <w:r w:rsidRPr="008C2874">
        <w:t xml:space="preserve">coberturas vivas. </w:t>
      </w:r>
      <w:r w:rsidRPr="008C2874">
        <w:rPr>
          <w:b/>
          <w:bCs/>
        </w:rPr>
        <w:t>Pesquisa Agropecuária Brasileira</w:t>
      </w:r>
      <w:r w:rsidRPr="008C2874">
        <w:t>,</w:t>
      </w:r>
      <w:r>
        <w:t xml:space="preserve"> </w:t>
      </w:r>
      <w:r w:rsidRPr="008C2874">
        <w:t>Brasília, v.41, n.3, p.415-420, 2006b</w:t>
      </w:r>
      <w:r>
        <w:t>.</w:t>
      </w:r>
    </w:p>
    <w:p w:rsidR="00DB555F" w:rsidRDefault="00DB555F" w:rsidP="00A12EFD">
      <w:pPr>
        <w:autoSpaceDE w:val="0"/>
        <w:autoSpaceDN w:val="0"/>
        <w:adjustRightInd w:val="0"/>
        <w:spacing w:line="360" w:lineRule="auto"/>
        <w:jc w:val="both"/>
      </w:pPr>
    </w:p>
    <w:p w:rsidR="00DB555F" w:rsidRDefault="00DB555F" w:rsidP="00A12EFD">
      <w:pPr>
        <w:spacing w:line="360" w:lineRule="auto"/>
        <w:jc w:val="both"/>
      </w:pPr>
      <w:r w:rsidRPr="00B5581D">
        <w:t>GUERRA, J. G. M.; ESPINDOLA, J. A. A.; PERIN, A.; TEXEIRA, M. G.; ALMEIDA, D. L.; ASSIS, R. L. Desenpenho de leguminosas tropicais perenes como plantas de cobertura do solo.</w:t>
      </w:r>
      <w:r w:rsidRPr="00B5581D">
        <w:rPr>
          <w:b/>
        </w:rPr>
        <w:t xml:space="preserve"> Seropédica</w:t>
      </w:r>
      <w:r w:rsidRPr="00B5581D">
        <w:t>: Embrapa Agrobiologia, 2007. 39 p.</w:t>
      </w:r>
    </w:p>
    <w:p w:rsidR="00DB555F" w:rsidRDefault="00DB555F" w:rsidP="00A12EFD">
      <w:pPr>
        <w:spacing w:line="360" w:lineRule="auto"/>
        <w:jc w:val="both"/>
      </w:pPr>
    </w:p>
    <w:p w:rsidR="00DB555F" w:rsidRDefault="00DB555F" w:rsidP="00A12EFD">
      <w:pPr>
        <w:jc w:val="both"/>
      </w:pPr>
      <w:r w:rsidRPr="006456E4">
        <w:t xml:space="preserve">NEVES, I. P. </w:t>
      </w:r>
      <w:r w:rsidRPr="006456E4">
        <w:rPr>
          <w:b/>
        </w:rPr>
        <w:t>Adubação Verde</w:t>
      </w:r>
      <w:r w:rsidRPr="006456E4">
        <w:t>. Salvador-BA: Rede de Tecnologia da Bahia, 2007.</w:t>
      </w:r>
    </w:p>
    <w:sectPr w:rsidR="00DB555F" w:rsidSect="00825752">
      <w:headerReference w:type="even" r:id="rId8"/>
      <w:headerReference w:type="default" r:id="rId9"/>
      <w:footerReference w:type="default" r:id="rId10"/>
      <w:pgSz w:w="11907" w:h="16840" w:code="9"/>
      <w:pgMar w:top="1418" w:right="1134" w:bottom="1134" w:left="1418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64" w:rsidRDefault="00BF1464">
      <w:r>
        <w:separator/>
      </w:r>
    </w:p>
  </w:endnote>
  <w:endnote w:type="continuationSeparator" w:id="0">
    <w:p w:rsidR="00BF1464" w:rsidRDefault="00BF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1B" w:rsidRDefault="00BE6DB4" w:rsidP="00D46ADC">
    <w:pPr>
      <w:pStyle w:val="Cabealho"/>
      <w:framePr w:wrap="around" w:vAnchor="text" w:hAnchor="page" w:x="10855" w:y="1"/>
      <w:rPr>
        <w:rStyle w:val="Nmerodepgina"/>
      </w:rPr>
    </w:pPr>
    <w:r>
      <w:rPr>
        <w:rStyle w:val="Nmerodepgina"/>
      </w:rPr>
      <w:fldChar w:fldCharType="begin"/>
    </w:r>
    <w:r w:rsidR="00860D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52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0D1B" w:rsidRDefault="00860D1B" w:rsidP="00D46ADC">
    <w:pPr>
      <w:pStyle w:val="Rodap"/>
      <w:jc w:val="right"/>
      <w:rPr>
        <w:rFonts w:ascii="Arial" w:hAnsi="Arial"/>
        <w:sz w:val="16"/>
      </w:rPr>
    </w:pPr>
  </w:p>
  <w:p w:rsidR="00860D1B" w:rsidRDefault="00860D1B" w:rsidP="006453B8">
    <w:pPr>
      <w:pStyle w:val="Rodap"/>
      <w:jc w:val="center"/>
      <w:rPr>
        <w:rFonts w:ascii="Arial" w:hAnsi="Arial"/>
        <w:sz w:val="16"/>
      </w:rPr>
    </w:pPr>
  </w:p>
  <w:p w:rsidR="00860D1B" w:rsidRDefault="00BE6DB4" w:rsidP="006453B8">
    <w:pPr>
      <w:pStyle w:val="Rodap"/>
      <w:tabs>
        <w:tab w:val="clear" w:pos="4419"/>
        <w:tab w:val="clear" w:pos="8838"/>
      </w:tabs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pict>
        <v:line id="_x0000_s2058" style="position:absolute;left:0;text-align:left;z-index:251656192" from="46.35pt,-9.1pt" to="435.15pt,-9.1pt" strokecolor="red" strokeweight="1pt"/>
      </w:pict>
    </w:r>
    <w:r w:rsidR="00860D1B">
      <w:rPr>
        <w:rFonts w:ascii="Arial" w:hAnsi="Arial"/>
        <w:sz w:val="16"/>
      </w:rPr>
      <w:t>Cidade Universitária de Dourados - CP 351 - CEP 79.804-970 - DOURADOS - MS</w:t>
    </w:r>
  </w:p>
  <w:p w:rsidR="00860D1B" w:rsidRPr="000B2B6A" w:rsidRDefault="00860D1B" w:rsidP="006453B8">
    <w:pPr>
      <w:pStyle w:val="Rodap"/>
      <w:tabs>
        <w:tab w:val="clear" w:pos="4419"/>
        <w:tab w:val="clear" w:pos="8838"/>
      </w:tabs>
      <w:ind w:hanging="567"/>
      <w:jc w:val="center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/>
          <w:sz w:val="16"/>
          <w:lang w:val="en-US"/>
        </w:rPr>
        <w:t>(</w:t>
      </w:r>
      <w:r w:rsidRPr="000B2B6A">
        <w:rPr>
          <w:rFonts w:ascii="Arial" w:hAnsi="Arial"/>
          <w:sz w:val="16"/>
          <w:lang w:val="en-US"/>
        </w:rPr>
        <w:t xml:space="preserve">67) </w:t>
      </w:r>
      <w:r>
        <w:rPr>
          <w:rFonts w:ascii="Arial" w:hAnsi="Arial"/>
          <w:sz w:val="16"/>
          <w:lang w:val="en-US"/>
        </w:rPr>
        <w:t>3902-2538</w:t>
      </w:r>
    </w:smartTag>
    <w:r>
      <w:rPr>
        <w:rFonts w:ascii="Arial" w:hAnsi="Arial"/>
        <w:sz w:val="16"/>
        <w:lang w:val="en-US"/>
      </w:rPr>
      <w:t xml:space="preserve"> </w:t>
    </w:r>
    <w:r w:rsidRPr="000B2B6A">
      <w:rPr>
        <w:rFonts w:ascii="Arial" w:hAnsi="Arial"/>
        <w:sz w:val="16"/>
        <w:lang w:val="en-US"/>
      </w:rPr>
      <w:t>Home Page http://www.uems.br</w:t>
    </w:r>
    <w:r>
      <w:rPr>
        <w:rFonts w:ascii="Arial" w:hAnsi="Arial"/>
        <w:sz w:val="16"/>
        <w:lang w:val="en-US"/>
      </w:rPr>
      <w:t>/propp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64" w:rsidRDefault="00BF1464">
      <w:r>
        <w:separator/>
      </w:r>
    </w:p>
  </w:footnote>
  <w:footnote w:type="continuationSeparator" w:id="0">
    <w:p w:rsidR="00BF1464" w:rsidRDefault="00BF1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1B" w:rsidRDefault="00BE6D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0D1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0D1B" w:rsidRDefault="00860D1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1B" w:rsidRDefault="00F534BD" w:rsidP="009167C4">
    <w:pPr>
      <w:pStyle w:val="Cabealho"/>
      <w:spacing w:line="360" w:lineRule="auto"/>
      <w:rPr>
        <w:rFonts w:ascii="Architecture" w:hAnsi="Architecture"/>
        <w:sz w:val="10"/>
      </w:rPr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65405</wp:posOffset>
          </wp:positionV>
          <wp:extent cx="913765" cy="685800"/>
          <wp:effectExtent l="19050" t="0" r="635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680085" cy="685800"/>
          <wp:effectExtent l="19050" t="0" r="5715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0D1B" w:rsidRPr="00D41C98" w:rsidRDefault="00860D1B" w:rsidP="0055721F">
    <w:pPr>
      <w:pStyle w:val="Cabealho"/>
      <w:ind w:left="1418"/>
      <w:rPr>
        <w:rFonts w:ascii="Architecture" w:hAnsi="Architecture"/>
        <w:spacing w:val="30"/>
        <w:sz w:val="24"/>
      </w:rPr>
    </w:pPr>
    <w:r w:rsidRPr="00D41C98">
      <w:rPr>
        <w:rFonts w:ascii="Architecture" w:hAnsi="Architecture"/>
        <w:spacing w:val="30"/>
        <w:sz w:val="24"/>
      </w:rPr>
      <w:t>UNIVERSIDADE ESTADUAL DE MATO GROSSO DO SUL</w:t>
    </w:r>
    <w:r>
      <w:rPr>
        <w:rFonts w:ascii="Architecture" w:hAnsi="Architecture"/>
        <w:spacing w:val="30"/>
        <w:sz w:val="24"/>
      </w:rPr>
      <w:t xml:space="preserve">  </w:t>
    </w:r>
  </w:p>
  <w:p w:rsidR="00860D1B" w:rsidRDefault="00BE6DB4" w:rsidP="00C66F7D">
    <w:pPr>
      <w:pStyle w:val="Cabealho"/>
      <w:tabs>
        <w:tab w:val="clear" w:pos="4419"/>
        <w:tab w:val="clear" w:pos="8838"/>
        <w:tab w:val="right" w:pos="8788"/>
      </w:tabs>
      <w:rPr>
        <w:sz w:val="24"/>
      </w:rPr>
    </w:pPr>
    <w:r w:rsidRPr="00BE6DB4">
      <w:rPr>
        <w:noProof/>
      </w:rPr>
      <w:pict>
        <v:line id="_x0000_s2073" style="position:absolute;z-index:251657216" from="1in,3.65pt" to="387pt,3.65pt" strokecolor="red"/>
      </w:pict>
    </w:r>
    <w:r w:rsidR="00860D1B">
      <w:rPr>
        <w:sz w:val="24"/>
      </w:rPr>
      <w:tab/>
    </w:r>
  </w:p>
  <w:p w:rsidR="00860D1B" w:rsidRPr="00D41C98" w:rsidRDefault="00860D1B" w:rsidP="0055721F">
    <w:pPr>
      <w:pStyle w:val="Cabealho"/>
      <w:ind w:left="1418"/>
      <w:rPr>
        <w:rFonts w:ascii="Architecture" w:hAnsi="Architecture"/>
        <w:spacing w:val="30"/>
        <w:sz w:val="22"/>
      </w:rPr>
    </w:pPr>
    <w:r w:rsidRPr="00D41C98">
      <w:rPr>
        <w:rFonts w:ascii="Architecture" w:hAnsi="Architecture"/>
        <w:spacing w:val="30"/>
        <w:sz w:val="22"/>
      </w:rPr>
      <w:t>PRÓ-REITORIA DE PESQUISA E PÓS-GRADUAÇÃO</w:t>
    </w:r>
  </w:p>
  <w:p w:rsidR="00860D1B" w:rsidRDefault="00860D1B" w:rsidP="006453B8">
    <w:pPr>
      <w:pStyle w:val="Cabealho"/>
      <w:ind w:left="1418"/>
      <w:jc w:val="center"/>
    </w:pPr>
    <w:r w:rsidRPr="00D41C98">
      <w:rPr>
        <w:rFonts w:ascii="Architecture" w:hAnsi="Architecture"/>
        <w:spacing w:val="30"/>
        <w:sz w:val="22"/>
      </w:rPr>
      <w:t>DIVISÃO DE PESQUISA</w:t>
    </w:r>
  </w:p>
  <w:p w:rsidR="00860D1B" w:rsidRDefault="00860D1B" w:rsidP="000A753E">
    <w:pPr>
      <w:pStyle w:val="Cabealho"/>
      <w:tabs>
        <w:tab w:val="clear" w:pos="4419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C4E"/>
    <w:multiLevelType w:val="hybridMultilevel"/>
    <w:tmpl w:val="F892B0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5239B"/>
    <w:multiLevelType w:val="hybridMultilevel"/>
    <w:tmpl w:val="623061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74042"/>
    <w:multiLevelType w:val="hybridMultilevel"/>
    <w:tmpl w:val="A30A3D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27650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4BA3"/>
    <w:rsid w:val="0000351B"/>
    <w:rsid w:val="00004C03"/>
    <w:rsid w:val="000060CD"/>
    <w:rsid w:val="00010163"/>
    <w:rsid w:val="00021622"/>
    <w:rsid w:val="00021C39"/>
    <w:rsid w:val="00023477"/>
    <w:rsid w:val="000240F6"/>
    <w:rsid w:val="000245D0"/>
    <w:rsid w:val="000260BC"/>
    <w:rsid w:val="00027407"/>
    <w:rsid w:val="0002766E"/>
    <w:rsid w:val="00031DAA"/>
    <w:rsid w:val="00033B2B"/>
    <w:rsid w:val="000353D9"/>
    <w:rsid w:val="00037EB0"/>
    <w:rsid w:val="000417AE"/>
    <w:rsid w:val="00045029"/>
    <w:rsid w:val="00062D94"/>
    <w:rsid w:val="00065E37"/>
    <w:rsid w:val="00092DC3"/>
    <w:rsid w:val="00095D1A"/>
    <w:rsid w:val="000962EB"/>
    <w:rsid w:val="000977D0"/>
    <w:rsid w:val="000A396A"/>
    <w:rsid w:val="000A65BB"/>
    <w:rsid w:val="000A753E"/>
    <w:rsid w:val="000B1161"/>
    <w:rsid w:val="000B7E18"/>
    <w:rsid w:val="000D651A"/>
    <w:rsid w:val="000D6E91"/>
    <w:rsid w:val="000E22C7"/>
    <w:rsid w:val="000F196F"/>
    <w:rsid w:val="000F4E0B"/>
    <w:rsid w:val="000F5824"/>
    <w:rsid w:val="000F6E66"/>
    <w:rsid w:val="000F77A7"/>
    <w:rsid w:val="000F792E"/>
    <w:rsid w:val="000F7EBE"/>
    <w:rsid w:val="00104410"/>
    <w:rsid w:val="0011013E"/>
    <w:rsid w:val="00110E38"/>
    <w:rsid w:val="00122221"/>
    <w:rsid w:val="00126A2A"/>
    <w:rsid w:val="001276ED"/>
    <w:rsid w:val="0013038B"/>
    <w:rsid w:val="00130829"/>
    <w:rsid w:val="0013423F"/>
    <w:rsid w:val="00137534"/>
    <w:rsid w:val="00141EC2"/>
    <w:rsid w:val="0014250B"/>
    <w:rsid w:val="001446F3"/>
    <w:rsid w:val="00145136"/>
    <w:rsid w:val="00150B6B"/>
    <w:rsid w:val="00151CC4"/>
    <w:rsid w:val="00154DE5"/>
    <w:rsid w:val="001627E9"/>
    <w:rsid w:val="00163D42"/>
    <w:rsid w:val="00166BE7"/>
    <w:rsid w:val="00172368"/>
    <w:rsid w:val="00173196"/>
    <w:rsid w:val="00180147"/>
    <w:rsid w:val="00183BA8"/>
    <w:rsid w:val="00191076"/>
    <w:rsid w:val="00195A4A"/>
    <w:rsid w:val="001A0C4D"/>
    <w:rsid w:val="001A0F56"/>
    <w:rsid w:val="001A2279"/>
    <w:rsid w:val="001A227A"/>
    <w:rsid w:val="001A346E"/>
    <w:rsid w:val="001A4628"/>
    <w:rsid w:val="001A5820"/>
    <w:rsid w:val="001A70F4"/>
    <w:rsid w:val="001A77B8"/>
    <w:rsid w:val="001B01DD"/>
    <w:rsid w:val="001B2446"/>
    <w:rsid w:val="001B6A3A"/>
    <w:rsid w:val="001C0551"/>
    <w:rsid w:val="001C19F6"/>
    <w:rsid w:val="001C4E59"/>
    <w:rsid w:val="001C4F1C"/>
    <w:rsid w:val="001C69F4"/>
    <w:rsid w:val="001D0594"/>
    <w:rsid w:val="001D0B6F"/>
    <w:rsid w:val="001D5742"/>
    <w:rsid w:val="001D57C5"/>
    <w:rsid w:val="001D6410"/>
    <w:rsid w:val="001D73B7"/>
    <w:rsid w:val="001E452B"/>
    <w:rsid w:val="001E4EF1"/>
    <w:rsid w:val="001F3F83"/>
    <w:rsid w:val="001F5F8F"/>
    <w:rsid w:val="0020026C"/>
    <w:rsid w:val="00207BFD"/>
    <w:rsid w:val="0021542A"/>
    <w:rsid w:val="0022317F"/>
    <w:rsid w:val="00224F35"/>
    <w:rsid w:val="002276EE"/>
    <w:rsid w:val="00227B8A"/>
    <w:rsid w:val="00241367"/>
    <w:rsid w:val="00242C18"/>
    <w:rsid w:val="002435B9"/>
    <w:rsid w:val="0024650B"/>
    <w:rsid w:val="002468C4"/>
    <w:rsid w:val="00246C32"/>
    <w:rsid w:val="002511FD"/>
    <w:rsid w:val="002526A2"/>
    <w:rsid w:val="00252DB1"/>
    <w:rsid w:val="002534E1"/>
    <w:rsid w:val="00254E83"/>
    <w:rsid w:val="00264896"/>
    <w:rsid w:val="00265298"/>
    <w:rsid w:val="00267C32"/>
    <w:rsid w:val="00270191"/>
    <w:rsid w:val="00273720"/>
    <w:rsid w:val="00274277"/>
    <w:rsid w:val="00274D0A"/>
    <w:rsid w:val="00275247"/>
    <w:rsid w:val="00285EE6"/>
    <w:rsid w:val="00291EB8"/>
    <w:rsid w:val="002A13DC"/>
    <w:rsid w:val="002A3D1D"/>
    <w:rsid w:val="002B0B42"/>
    <w:rsid w:val="002B50D9"/>
    <w:rsid w:val="002B5633"/>
    <w:rsid w:val="002C25B2"/>
    <w:rsid w:val="002C412B"/>
    <w:rsid w:val="002C4A10"/>
    <w:rsid w:val="002D0B09"/>
    <w:rsid w:val="002D29ED"/>
    <w:rsid w:val="002D2F2C"/>
    <w:rsid w:val="002D30D1"/>
    <w:rsid w:val="002D424A"/>
    <w:rsid w:val="002D5983"/>
    <w:rsid w:val="002D6FB1"/>
    <w:rsid w:val="002E6010"/>
    <w:rsid w:val="002E6571"/>
    <w:rsid w:val="002F4BEA"/>
    <w:rsid w:val="003053CF"/>
    <w:rsid w:val="00305AB8"/>
    <w:rsid w:val="003100FF"/>
    <w:rsid w:val="00310C8D"/>
    <w:rsid w:val="00316AC5"/>
    <w:rsid w:val="00320392"/>
    <w:rsid w:val="003222EE"/>
    <w:rsid w:val="00330119"/>
    <w:rsid w:val="0033089E"/>
    <w:rsid w:val="0033108E"/>
    <w:rsid w:val="003335E7"/>
    <w:rsid w:val="00333CF3"/>
    <w:rsid w:val="00333EBE"/>
    <w:rsid w:val="00334012"/>
    <w:rsid w:val="0033507A"/>
    <w:rsid w:val="0033575D"/>
    <w:rsid w:val="003366D8"/>
    <w:rsid w:val="003417EC"/>
    <w:rsid w:val="0034228F"/>
    <w:rsid w:val="00342E88"/>
    <w:rsid w:val="00344B91"/>
    <w:rsid w:val="00345D00"/>
    <w:rsid w:val="003516B4"/>
    <w:rsid w:val="00355898"/>
    <w:rsid w:val="00360A7A"/>
    <w:rsid w:val="003647E0"/>
    <w:rsid w:val="00365E75"/>
    <w:rsid w:val="003670E5"/>
    <w:rsid w:val="0036779D"/>
    <w:rsid w:val="00380326"/>
    <w:rsid w:val="003819F6"/>
    <w:rsid w:val="00383181"/>
    <w:rsid w:val="00383906"/>
    <w:rsid w:val="00386448"/>
    <w:rsid w:val="00386500"/>
    <w:rsid w:val="00386CB3"/>
    <w:rsid w:val="00390931"/>
    <w:rsid w:val="00392365"/>
    <w:rsid w:val="00395617"/>
    <w:rsid w:val="00395762"/>
    <w:rsid w:val="0039760F"/>
    <w:rsid w:val="003A0A02"/>
    <w:rsid w:val="003A2A38"/>
    <w:rsid w:val="003A360B"/>
    <w:rsid w:val="003A5EA0"/>
    <w:rsid w:val="003B3E37"/>
    <w:rsid w:val="003B4CD2"/>
    <w:rsid w:val="003B5CDF"/>
    <w:rsid w:val="003C133F"/>
    <w:rsid w:val="003C3D9C"/>
    <w:rsid w:val="003C5567"/>
    <w:rsid w:val="003C6DB2"/>
    <w:rsid w:val="003C75FE"/>
    <w:rsid w:val="003D076F"/>
    <w:rsid w:val="003D4CA7"/>
    <w:rsid w:val="003E1B26"/>
    <w:rsid w:val="004008A9"/>
    <w:rsid w:val="00401770"/>
    <w:rsid w:val="004025A4"/>
    <w:rsid w:val="004030B7"/>
    <w:rsid w:val="00404D87"/>
    <w:rsid w:val="00407A49"/>
    <w:rsid w:val="00407F2E"/>
    <w:rsid w:val="004170C4"/>
    <w:rsid w:val="00425ED9"/>
    <w:rsid w:val="00434128"/>
    <w:rsid w:val="00440411"/>
    <w:rsid w:val="004415C6"/>
    <w:rsid w:val="00441885"/>
    <w:rsid w:val="00452341"/>
    <w:rsid w:val="00460197"/>
    <w:rsid w:val="00461C35"/>
    <w:rsid w:val="004648A3"/>
    <w:rsid w:val="00470164"/>
    <w:rsid w:val="004705C9"/>
    <w:rsid w:val="0047450B"/>
    <w:rsid w:val="00486E0C"/>
    <w:rsid w:val="0048726F"/>
    <w:rsid w:val="00487886"/>
    <w:rsid w:val="00497E92"/>
    <w:rsid w:val="004A1C83"/>
    <w:rsid w:val="004A24DA"/>
    <w:rsid w:val="004A2BB1"/>
    <w:rsid w:val="004A40F8"/>
    <w:rsid w:val="004B026F"/>
    <w:rsid w:val="004B09D1"/>
    <w:rsid w:val="004B227D"/>
    <w:rsid w:val="004C077E"/>
    <w:rsid w:val="004C25EE"/>
    <w:rsid w:val="004C4BA3"/>
    <w:rsid w:val="004C56E8"/>
    <w:rsid w:val="004C6545"/>
    <w:rsid w:val="004C7E48"/>
    <w:rsid w:val="004D3BC8"/>
    <w:rsid w:val="004D456E"/>
    <w:rsid w:val="004D4B34"/>
    <w:rsid w:val="004E3185"/>
    <w:rsid w:val="004E3D6C"/>
    <w:rsid w:val="004E42AD"/>
    <w:rsid w:val="004E64E4"/>
    <w:rsid w:val="004E7321"/>
    <w:rsid w:val="004E7CA4"/>
    <w:rsid w:val="004F00FE"/>
    <w:rsid w:val="004F02C8"/>
    <w:rsid w:val="004F112C"/>
    <w:rsid w:val="004F489E"/>
    <w:rsid w:val="004F58DC"/>
    <w:rsid w:val="004F7D08"/>
    <w:rsid w:val="0050031B"/>
    <w:rsid w:val="00502B16"/>
    <w:rsid w:val="00503599"/>
    <w:rsid w:val="00507C52"/>
    <w:rsid w:val="005114A1"/>
    <w:rsid w:val="005121E0"/>
    <w:rsid w:val="00512876"/>
    <w:rsid w:val="00514315"/>
    <w:rsid w:val="00516941"/>
    <w:rsid w:val="00517A38"/>
    <w:rsid w:val="00520C7F"/>
    <w:rsid w:val="0052246B"/>
    <w:rsid w:val="0052373E"/>
    <w:rsid w:val="00523B50"/>
    <w:rsid w:val="00524DBD"/>
    <w:rsid w:val="0052572A"/>
    <w:rsid w:val="005263FB"/>
    <w:rsid w:val="005273A2"/>
    <w:rsid w:val="0053492D"/>
    <w:rsid w:val="005353BE"/>
    <w:rsid w:val="005372F3"/>
    <w:rsid w:val="00537A8F"/>
    <w:rsid w:val="00541260"/>
    <w:rsid w:val="005426DC"/>
    <w:rsid w:val="00543D55"/>
    <w:rsid w:val="005442AE"/>
    <w:rsid w:val="005452F7"/>
    <w:rsid w:val="0055373C"/>
    <w:rsid w:val="00553FA6"/>
    <w:rsid w:val="005547C3"/>
    <w:rsid w:val="0055721F"/>
    <w:rsid w:val="00562410"/>
    <w:rsid w:val="00562D4A"/>
    <w:rsid w:val="005647B8"/>
    <w:rsid w:val="00564DB8"/>
    <w:rsid w:val="00565FAA"/>
    <w:rsid w:val="00572B96"/>
    <w:rsid w:val="005740D4"/>
    <w:rsid w:val="00574664"/>
    <w:rsid w:val="0057571E"/>
    <w:rsid w:val="005761F9"/>
    <w:rsid w:val="005807C7"/>
    <w:rsid w:val="00581883"/>
    <w:rsid w:val="005821B6"/>
    <w:rsid w:val="005836F6"/>
    <w:rsid w:val="00585C50"/>
    <w:rsid w:val="00585C6B"/>
    <w:rsid w:val="00590784"/>
    <w:rsid w:val="00590AE6"/>
    <w:rsid w:val="005911D9"/>
    <w:rsid w:val="0059177D"/>
    <w:rsid w:val="005918EC"/>
    <w:rsid w:val="00594C2E"/>
    <w:rsid w:val="00595128"/>
    <w:rsid w:val="00595B28"/>
    <w:rsid w:val="00596EE5"/>
    <w:rsid w:val="005A2E85"/>
    <w:rsid w:val="005A2EAB"/>
    <w:rsid w:val="005A7A88"/>
    <w:rsid w:val="005B67D7"/>
    <w:rsid w:val="005B7373"/>
    <w:rsid w:val="005C008C"/>
    <w:rsid w:val="005C2084"/>
    <w:rsid w:val="005C3DD6"/>
    <w:rsid w:val="005C693B"/>
    <w:rsid w:val="005C6E1F"/>
    <w:rsid w:val="005C74C2"/>
    <w:rsid w:val="005D0DC1"/>
    <w:rsid w:val="005D3EF4"/>
    <w:rsid w:val="005D6C94"/>
    <w:rsid w:val="005D6CDD"/>
    <w:rsid w:val="005D6F9B"/>
    <w:rsid w:val="005E18EE"/>
    <w:rsid w:val="005E1CC9"/>
    <w:rsid w:val="005E2759"/>
    <w:rsid w:val="005E4115"/>
    <w:rsid w:val="005E4769"/>
    <w:rsid w:val="005F1BCB"/>
    <w:rsid w:val="005F247F"/>
    <w:rsid w:val="005F5A8B"/>
    <w:rsid w:val="005F6150"/>
    <w:rsid w:val="005F62B6"/>
    <w:rsid w:val="00601B6F"/>
    <w:rsid w:val="006047C6"/>
    <w:rsid w:val="0060705E"/>
    <w:rsid w:val="00607364"/>
    <w:rsid w:val="006073DF"/>
    <w:rsid w:val="00610842"/>
    <w:rsid w:val="00610B1E"/>
    <w:rsid w:val="0061218A"/>
    <w:rsid w:val="0061500C"/>
    <w:rsid w:val="00620B7B"/>
    <w:rsid w:val="006231FC"/>
    <w:rsid w:val="00627773"/>
    <w:rsid w:val="006409E2"/>
    <w:rsid w:val="00642ECE"/>
    <w:rsid w:val="00644AF8"/>
    <w:rsid w:val="006453B8"/>
    <w:rsid w:val="00645885"/>
    <w:rsid w:val="0064755C"/>
    <w:rsid w:val="00653487"/>
    <w:rsid w:val="00654274"/>
    <w:rsid w:val="00656322"/>
    <w:rsid w:val="00660FD5"/>
    <w:rsid w:val="00661C4B"/>
    <w:rsid w:val="00662FC0"/>
    <w:rsid w:val="00667396"/>
    <w:rsid w:val="00670DC0"/>
    <w:rsid w:val="006719BB"/>
    <w:rsid w:val="0068154F"/>
    <w:rsid w:val="00684724"/>
    <w:rsid w:val="00684F8B"/>
    <w:rsid w:val="00686236"/>
    <w:rsid w:val="006872DF"/>
    <w:rsid w:val="00687619"/>
    <w:rsid w:val="006908BF"/>
    <w:rsid w:val="0069349C"/>
    <w:rsid w:val="006948A9"/>
    <w:rsid w:val="00696E86"/>
    <w:rsid w:val="00697F13"/>
    <w:rsid w:val="006A16C0"/>
    <w:rsid w:val="006A1983"/>
    <w:rsid w:val="006A4C08"/>
    <w:rsid w:val="006A4D90"/>
    <w:rsid w:val="006A5539"/>
    <w:rsid w:val="006A6749"/>
    <w:rsid w:val="006A6F19"/>
    <w:rsid w:val="006A70E3"/>
    <w:rsid w:val="006A7D65"/>
    <w:rsid w:val="006A7E26"/>
    <w:rsid w:val="006B2C3C"/>
    <w:rsid w:val="006B5548"/>
    <w:rsid w:val="006C6EB0"/>
    <w:rsid w:val="006C7321"/>
    <w:rsid w:val="006D1D1F"/>
    <w:rsid w:val="006D468C"/>
    <w:rsid w:val="006E1A0F"/>
    <w:rsid w:val="006E57FD"/>
    <w:rsid w:val="006E5BA4"/>
    <w:rsid w:val="006E6C3F"/>
    <w:rsid w:val="006E79D5"/>
    <w:rsid w:val="006F1D15"/>
    <w:rsid w:val="006F3140"/>
    <w:rsid w:val="006F6882"/>
    <w:rsid w:val="006F7220"/>
    <w:rsid w:val="006F7873"/>
    <w:rsid w:val="00703BF6"/>
    <w:rsid w:val="007051DD"/>
    <w:rsid w:val="00705B15"/>
    <w:rsid w:val="00706CE8"/>
    <w:rsid w:val="00707DCB"/>
    <w:rsid w:val="00710567"/>
    <w:rsid w:val="00715967"/>
    <w:rsid w:val="007218E3"/>
    <w:rsid w:val="007228CB"/>
    <w:rsid w:val="0072304B"/>
    <w:rsid w:val="0073000E"/>
    <w:rsid w:val="00733364"/>
    <w:rsid w:val="00733612"/>
    <w:rsid w:val="00733867"/>
    <w:rsid w:val="007339C0"/>
    <w:rsid w:val="00733A60"/>
    <w:rsid w:val="00733C17"/>
    <w:rsid w:val="00733E85"/>
    <w:rsid w:val="00734609"/>
    <w:rsid w:val="007401AF"/>
    <w:rsid w:val="00741033"/>
    <w:rsid w:val="007410C9"/>
    <w:rsid w:val="00742009"/>
    <w:rsid w:val="00745A44"/>
    <w:rsid w:val="00745A9D"/>
    <w:rsid w:val="00746DF4"/>
    <w:rsid w:val="00752552"/>
    <w:rsid w:val="00752562"/>
    <w:rsid w:val="00756B5E"/>
    <w:rsid w:val="00756DE8"/>
    <w:rsid w:val="00760DB2"/>
    <w:rsid w:val="007709FD"/>
    <w:rsid w:val="00770BED"/>
    <w:rsid w:val="00770F9F"/>
    <w:rsid w:val="00774955"/>
    <w:rsid w:val="00777053"/>
    <w:rsid w:val="0078301A"/>
    <w:rsid w:val="00784C10"/>
    <w:rsid w:val="00784EBF"/>
    <w:rsid w:val="0079154D"/>
    <w:rsid w:val="00792236"/>
    <w:rsid w:val="0079291C"/>
    <w:rsid w:val="0079469C"/>
    <w:rsid w:val="00794CD9"/>
    <w:rsid w:val="00796377"/>
    <w:rsid w:val="007A057B"/>
    <w:rsid w:val="007A0A69"/>
    <w:rsid w:val="007A47CD"/>
    <w:rsid w:val="007A5AFB"/>
    <w:rsid w:val="007A7048"/>
    <w:rsid w:val="007B340C"/>
    <w:rsid w:val="007B7B60"/>
    <w:rsid w:val="007C0046"/>
    <w:rsid w:val="007C1DA0"/>
    <w:rsid w:val="007C1ED2"/>
    <w:rsid w:val="007C2059"/>
    <w:rsid w:val="007C5055"/>
    <w:rsid w:val="007C50FD"/>
    <w:rsid w:val="007C7720"/>
    <w:rsid w:val="007D058D"/>
    <w:rsid w:val="007D0BD7"/>
    <w:rsid w:val="007D0DAE"/>
    <w:rsid w:val="007D2E54"/>
    <w:rsid w:val="007D3FBF"/>
    <w:rsid w:val="007D4768"/>
    <w:rsid w:val="007E5A2A"/>
    <w:rsid w:val="007F1F6A"/>
    <w:rsid w:val="007F235F"/>
    <w:rsid w:val="007F3DFF"/>
    <w:rsid w:val="007F4786"/>
    <w:rsid w:val="007F6259"/>
    <w:rsid w:val="007F65D4"/>
    <w:rsid w:val="007F7790"/>
    <w:rsid w:val="0080126E"/>
    <w:rsid w:val="00802BC0"/>
    <w:rsid w:val="00803E0E"/>
    <w:rsid w:val="00804312"/>
    <w:rsid w:val="00807AAE"/>
    <w:rsid w:val="008150C3"/>
    <w:rsid w:val="0081623A"/>
    <w:rsid w:val="00816C12"/>
    <w:rsid w:val="00816E25"/>
    <w:rsid w:val="00821DE2"/>
    <w:rsid w:val="00824EEA"/>
    <w:rsid w:val="00825752"/>
    <w:rsid w:val="00827FB5"/>
    <w:rsid w:val="00830DEE"/>
    <w:rsid w:val="008322E8"/>
    <w:rsid w:val="00836878"/>
    <w:rsid w:val="008471B1"/>
    <w:rsid w:val="00851A48"/>
    <w:rsid w:val="00856BA6"/>
    <w:rsid w:val="00860C5A"/>
    <w:rsid w:val="00860D1B"/>
    <w:rsid w:val="00862E5F"/>
    <w:rsid w:val="00864FE4"/>
    <w:rsid w:val="00866678"/>
    <w:rsid w:val="00866CCB"/>
    <w:rsid w:val="00885027"/>
    <w:rsid w:val="0088573A"/>
    <w:rsid w:val="00893F75"/>
    <w:rsid w:val="008951B3"/>
    <w:rsid w:val="0089742D"/>
    <w:rsid w:val="008A710C"/>
    <w:rsid w:val="008B04C7"/>
    <w:rsid w:val="008B2795"/>
    <w:rsid w:val="008B7279"/>
    <w:rsid w:val="008C06D2"/>
    <w:rsid w:val="008C2874"/>
    <w:rsid w:val="008C42D9"/>
    <w:rsid w:val="008C7007"/>
    <w:rsid w:val="008D27CE"/>
    <w:rsid w:val="008D4100"/>
    <w:rsid w:val="008D4691"/>
    <w:rsid w:val="008D6587"/>
    <w:rsid w:val="008E1715"/>
    <w:rsid w:val="008E1E76"/>
    <w:rsid w:val="008E6587"/>
    <w:rsid w:val="008E6FD6"/>
    <w:rsid w:val="008F5EC2"/>
    <w:rsid w:val="0090008C"/>
    <w:rsid w:val="00903E8E"/>
    <w:rsid w:val="00906C1F"/>
    <w:rsid w:val="00906E84"/>
    <w:rsid w:val="00907F92"/>
    <w:rsid w:val="00910E06"/>
    <w:rsid w:val="009150AA"/>
    <w:rsid w:val="009167C4"/>
    <w:rsid w:val="00920B51"/>
    <w:rsid w:val="00920F41"/>
    <w:rsid w:val="00925D88"/>
    <w:rsid w:val="009268AB"/>
    <w:rsid w:val="0093384C"/>
    <w:rsid w:val="0093409E"/>
    <w:rsid w:val="009359C8"/>
    <w:rsid w:val="00940CD4"/>
    <w:rsid w:val="009431CB"/>
    <w:rsid w:val="00943849"/>
    <w:rsid w:val="00947E1F"/>
    <w:rsid w:val="00951F1D"/>
    <w:rsid w:val="00953C2A"/>
    <w:rsid w:val="00954217"/>
    <w:rsid w:val="00955506"/>
    <w:rsid w:val="00963F56"/>
    <w:rsid w:val="0096413B"/>
    <w:rsid w:val="00966DFD"/>
    <w:rsid w:val="00966FB2"/>
    <w:rsid w:val="009671F9"/>
    <w:rsid w:val="00970D9D"/>
    <w:rsid w:val="009749FC"/>
    <w:rsid w:val="00974B34"/>
    <w:rsid w:val="009757B0"/>
    <w:rsid w:val="009765E2"/>
    <w:rsid w:val="009803B9"/>
    <w:rsid w:val="00984B8C"/>
    <w:rsid w:val="00985115"/>
    <w:rsid w:val="00985A67"/>
    <w:rsid w:val="009872B7"/>
    <w:rsid w:val="00993CCB"/>
    <w:rsid w:val="00993E95"/>
    <w:rsid w:val="009955C5"/>
    <w:rsid w:val="00997E33"/>
    <w:rsid w:val="009A101F"/>
    <w:rsid w:val="009A3A13"/>
    <w:rsid w:val="009A3EBC"/>
    <w:rsid w:val="009A4458"/>
    <w:rsid w:val="009A636F"/>
    <w:rsid w:val="009A65ED"/>
    <w:rsid w:val="009A6C1C"/>
    <w:rsid w:val="009B0803"/>
    <w:rsid w:val="009B1DFE"/>
    <w:rsid w:val="009B2C07"/>
    <w:rsid w:val="009B4043"/>
    <w:rsid w:val="009B439A"/>
    <w:rsid w:val="009B68EF"/>
    <w:rsid w:val="009C05EE"/>
    <w:rsid w:val="009C1588"/>
    <w:rsid w:val="009C2B75"/>
    <w:rsid w:val="009C2EFF"/>
    <w:rsid w:val="009C4B63"/>
    <w:rsid w:val="009C6FC9"/>
    <w:rsid w:val="009C7A4E"/>
    <w:rsid w:val="009D745A"/>
    <w:rsid w:val="009E2BF1"/>
    <w:rsid w:val="009E4784"/>
    <w:rsid w:val="009E5AB1"/>
    <w:rsid w:val="009F3087"/>
    <w:rsid w:val="009F3A63"/>
    <w:rsid w:val="009F3FF7"/>
    <w:rsid w:val="009F50C4"/>
    <w:rsid w:val="009F56CC"/>
    <w:rsid w:val="00A075BC"/>
    <w:rsid w:val="00A12EFD"/>
    <w:rsid w:val="00A17A01"/>
    <w:rsid w:val="00A2312E"/>
    <w:rsid w:val="00A2647A"/>
    <w:rsid w:val="00A31416"/>
    <w:rsid w:val="00A360DC"/>
    <w:rsid w:val="00A36392"/>
    <w:rsid w:val="00A3697C"/>
    <w:rsid w:val="00A42F76"/>
    <w:rsid w:val="00A42FA1"/>
    <w:rsid w:val="00A43CC8"/>
    <w:rsid w:val="00A4740F"/>
    <w:rsid w:val="00A51A1C"/>
    <w:rsid w:val="00A51A5A"/>
    <w:rsid w:val="00A53D2D"/>
    <w:rsid w:val="00A55C7F"/>
    <w:rsid w:val="00A601B6"/>
    <w:rsid w:val="00A60C91"/>
    <w:rsid w:val="00A618FE"/>
    <w:rsid w:val="00A61F1A"/>
    <w:rsid w:val="00A62AD8"/>
    <w:rsid w:val="00A65431"/>
    <w:rsid w:val="00A70786"/>
    <w:rsid w:val="00A727F5"/>
    <w:rsid w:val="00A73C37"/>
    <w:rsid w:val="00A76915"/>
    <w:rsid w:val="00A81C4D"/>
    <w:rsid w:val="00A83463"/>
    <w:rsid w:val="00A843D6"/>
    <w:rsid w:val="00A84DB4"/>
    <w:rsid w:val="00A84DE4"/>
    <w:rsid w:val="00A9234F"/>
    <w:rsid w:val="00AA0AEE"/>
    <w:rsid w:val="00AA36B2"/>
    <w:rsid w:val="00AA44B5"/>
    <w:rsid w:val="00AA7E4F"/>
    <w:rsid w:val="00AB6F64"/>
    <w:rsid w:val="00AB7765"/>
    <w:rsid w:val="00AC3E79"/>
    <w:rsid w:val="00AC6E72"/>
    <w:rsid w:val="00AD035B"/>
    <w:rsid w:val="00AD2206"/>
    <w:rsid w:val="00AD290B"/>
    <w:rsid w:val="00AD31B9"/>
    <w:rsid w:val="00AD40CA"/>
    <w:rsid w:val="00AD4785"/>
    <w:rsid w:val="00AD47A0"/>
    <w:rsid w:val="00AD4D12"/>
    <w:rsid w:val="00AD4E6C"/>
    <w:rsid w:val="00AD4E7D"/>
    <w:rsid w:val="00AD55F1"/>
    <w:rsid w:val="00AD7086"/>
    <w:rsid w:val="00AE14D7"/>
    <w:rsid w:val="00AE23D6"/>
    <w:rsid w:val="00AE63F6"/>
    <w:rsid w:val="00AF1E6B"/>
    <w:rsid w:val="00AF6608"/>
    <w:rsid w:val="00AF6C27"/>
    <w:rsid w:val="00B034E3"/>
    <w:rsid w:val="00B14EC1"/>
    <w:rsid w:val="00B15A9F"/>
    <w:rsid w:val="00B15B73"/>
    <w:rsid w:val="00B15D12"/>
    <w:rsid w:val="00B2179C"/>
    <w:rsid w:val="00B231C7"/>
    <w:rsid w:val="00B27997"/>
    <w:rsid w:val="00B30143"/>
    <w:rsid w:val="00B34610"/>
    <w:rsid w:val="00B35170"/>
    <w:rsid w:val="00B40271"/>
    <w:rsid w:val="00B42734"/>
    <w:rsid w:val="00B436C8"/>
    <w:rsid w:val="00B43D01"/>
    <w:rsid w:val="00B442FD"/>
    <w:rsid w:val="00B46D72"/>
    <w:rsid w:val="00B50286"/>
    <w:rsid w:val="00B536CB"/>
    <w:rsid w:val="00B53F48"/>
    <w:rsid w:val="00B54E38"/>
    <w:rsid w:val="00B5581D"/>
    <w:rsid w:val="00B56286"/>
    <w:rsid w:val="00B63E51"/>
    <w:rsid w:val="00B65DD0"/>
    <w:rsid w:val="00B66093"/>
    <w:rsid w:val="00B677FD"/>
    <w:rsid w:val="00B67981"/>
    <w:rsid w:val="00B70D22"/>
    <w:rsid w:val="00B715C3"/>
    <w:rsid w:val="00B71978"/>
    <w:rsid w:val="00B72D75"/>
    <w:rsid w:val="00B75920"/>
    <w:rsid w:val="00B76502"/>
    <w:rsid w:val="00B77066"/>
    <w:rsid w:val="00B816F9"/>
    <w:rsid w:val="00B823FB"/>
    <w:rsid w:val="00B83AAB"/>
    <w:rsid w:val="00B922B5"/>
    <w:rsid w:val="00B969A8"/>
    <w:rsid w:val="00B970DC"/>
    <w:rsid w:val="00BA0FEE"/>
    <w:rsid w:val="00BA28EC"/>
    <w:rsid w:val="00BA43E5"/>
    <w:rsid w:val="00BC340F"/>
    <w:rsid w:val="00BC4936"/>
    <w:rsid w:val="00BC66B1"/>
    <w:rsid w:val="00BC78C1"/>
    <w:rsid w:val="00BC7A7F"/>
    <w:rsid w:val="00BD3525"/>
    <w:rsid w:val="00BD45F8"/>
    <w:rsid w:val="00BD462A"/>
    <w:rsid w:val="00BD5218"/>
    <w:rsid w:val="00BE44E6"/>
    <w:rsid w:val="00BE6DB4"/>
    <w:rsid w:val="00BE6E36"/>
    <w:rsid w:val="00BF1464"/>
    <w:rsid w:val="00BF1CDC"/>
    <w:rsid w:val="00BF1FE5"/>
    <w:rsid w:val="00C007CC"/>
    <w:rsid w:val="00C0269A"/>
    <w:rsid w:val="00C02EAF"/>
    <w:rsid w:val="00C04501"/>
    <w:rsid w:val="00C06E98"/>
    <w:rsid w:val="00C073EC"/>
    <w:rsid w:val="00C07A48"/>
    <w:rsid w:val="00C125FA"/>
    <w:rsid w:val="00C12A22"/>
    <w:rsid w:val="00C12E26"/>
    <w:rsid w:val="00C1605F"/>
    <w:rsid w:val="00C16796"/>
    <w:rsid w:val="00C20F32"/>
    <w:rsid w:val="00C22053"/>
    <w:rsid w:val="00C276A2"/>
    <w:rsid w:val="00C32C3B"/>
    <w:rsid w:val="00C36A69"/>
    <w:rsid w:val="00C401BF"/>
    <w:rsid w:val="00C4034D"/>
    <w:rsid w:val="00C46182"/>
    <w:rsid w:val="00C4720B"/>
    <w:rsid w:val="00C525DD"/>
    <w:rsid w:val="00C53683"/>
    <w:rsid w:val="00C536F6"/>
    <w:rsid w:val="00C5570A"/>
    <w:rsid w:val="00C60CC3"/>
    <w:rsid w:val="00C66ADD"/>
    <w:rsid w:val="00C66F7D"/>
    <w:rsid w:val="00C66FE7"/>
    <w:rsid w:val="00C744BA"/>
    <w:rsid w:val="00C76B33"/>
    <w:rsid w:val="00C77435"/>
    <w:rsid w:val="00C8157F"/>
    <w:rsid w:val="00C82339"/>
    <w:rsid w:val="00C953C7"/>
    <w:rsid w:val="00C9767B"/>
    <w:rsid w:val="00CA10B3"/>
    <w:rsid w:val="00CA2E68"/>
    <w:rsid w:val="00CA384D"/>
    <w:rsid w:val="00CA6507"/>
    <w:rsid w:val="00CA6ADA"/>
    <w:rsid w:val="00CA7D6A"/>
    <w:rsid w:val="00CA7E3E"/>
    <w:rsid w:val="00CB3DFF"/>
    <w:rsid w:val="00CB53AC"/>
    <w:rsid w:val="00CB72CF"/>
    <w:rsid w:val="00CC6D1F"/>
    <w:rsid w:val="00CC7ECD"/>
    <w:rsid w:val="00CD2A70"/>
    <w:rsid w:val="00CD7861"/>
    <w:rsid w:val="00CE261F"/>
    <w:rsid w:val="00CE37D5"/>
    <w:rsid w:val="00CF135C"/>
    <w:rsid w:val="00CF15BD"/>
    <w:rsid w:val="00CF1FBF"/>
    <w:rsid w:val="00CF21E4"/>
    <w:rsid w:val="00CF2D53"/>
    <w:rsid w:val="00D01B25"/>
    <w:rsid w:val="00D032DC"/>
    <w:rsid w:val="00D04F40"/>
    <w:rsid w:val="00D0627A"/>
    <w:rsid w:val="00D072FC"/>
    <w:rsid w:val="00D105B7"/>
    <w:rsid w:val="00D1231D"/>
    <w:rsid w:val="00D13C2E"/>
    <w:rsid w:val="00D143A3"/>
    <w:rsid w:val="00D14C98"/>
    <w:rsid w:val="00D16F95"/>
    <w:rsid w:val="00D2308B"/>
    <w:rsid w:val="00D25101"/>
    <w:rsid w:val="00D2713E"/>
    <w:rsid w:val="00D31ED6"/>
    <w:rsid w:val="00D35AE3"/>
    <w:rsid w:val="00D35BFF"/>
    <w:rsid w:val="00D44C0E"/>
    <w:rsid w:val="00D46ADC"/>
    <w:rsid w:val="00D50C92"/>
    <w:rsid w:val="00D517A3"/>
    <w:rsid w:val="00D549ED"/>
    <w:rsid w:val="00D55D30"/>
    <w:rsid w:val="00D57D69"/>
    <w:rsid w:val="00D60AE3"/>
    <w:rsid w:val="00D60F06"/>
    <w:rsid w:val="00D63C5D"/>
    <w:rsid w:val="00D65601"/>
    <w:rsid w:val="00D703ED"/>
    <w:rsid w:val="00D7727A"/>
    <w:rsid w:val="00D77D9D"/>
    <w:rsid w:val="00D80953"/>
    <w:rsid w:val="00D80987"/>
    <w:rsid w:val="00D81DE0"/>
    <w:rsid w:val="00D83062"/>
    <w:rsid w:val="00D83A7A"/>
    <w:rsid w:val="00D84903"/>
    <w:rsid w:val="00D87092"/>
    <w:rsid w:val="00D87FD1"/>
    <w:rsid w:val="00D9029F"/>
    <w:rsid w:val="00D90EB6"/>
    <w:rsid w:val="00D926E4"/>
    <w:rsid w:val="00D93DCD"/>
    <w:rsid w:val="00D943A4"/>
    <w:rsid w:val="00D964F3"/>
    <w:rsid w:val="00DA66AC"/>
    <w:rsid w:val="00DA7C3E"/>
    <w:rsid w:val="00DB27C1"/>
    <w:rsid w:val="00DB3BC4"/>
    <w:rsid w:val="00DB53AD"/>
    <w:rsid w:val="00DB555F"/>
    <w:rsid w:val="00DB5CFA"/>
    <w:rsid w:val="00DB7332"/>
    <w:rsid w:val="00DC5ECD"/>
    <w:rsid w:val="00DC625B"/>
    <w:rsid w:val="00DC7840"/>
    <w:rsid w:val="00DC7C94"/>
    <w:rsid w:val="00DE248A"/>
    <w:rsid w:val="00DE2AFD"/>
    <w:rsid w:val="00DE504A"/>
    <w:rsid w:val="00DF01B1"/>
    <w:rsid w:val="00DF37BB"/>
    <w:rsid w:val="00DF4DB2"/>
    <w:rsid w:val="00DF74BB"/>
    <w:rsid w:val="00DF7971"/>
    <w:rsid w:val="00E014CA"/>
    <w:rsid w:val="00E11119"/>
    <w:rsid w:val="00E141A0"/>
    <w:rsid w:val="00E141B0"/>
    <w:rsid w:val="00E15484"/>
    <w:rsid w:val="00E15DCF"/>
    <w:rsid w:val="00E17607"/>
    <w:rsid w:val="00E3093B"/>
    <w:rsid w:val="00E34077"/>
    <w:rsid w:val="00E34753"/>
    <w:rsid w:val="00E40DE4"/>
    <w:rsid w:val="00E449AA"/>
    <w:rsid w:val="00E509E1"/>
    <w:rsid w:val="00E51FC5"/>
    <w:rsid w:val="00E52402"/>
    <w:rsid w:val="00E543F7"/>
    <w:rsid w:val="00E566A9"/>
    <w:rsid w:val="00E57444"/>
    <w:rsid w:val="00E6105B"/>
    <w:rsid w:val="00E64732"/>
    <w:rsid w:val="00E65F0F"/>
    <w:rsid w:val="00E67B09"/>
    <w:rsid w:val="00E712CE"/>
    <w:rsid w:val="00E719A1"/>
    <w:rsid w:val="00E72EE8"/>
    <w:rsid w:val="00E8197F"/>
    <w:rsid w:val="00E90F9E"/>
    <w:rsid w:val="00E91945"/>
    <w:rsid w:val="00E93C96"/>
    <w:rsid w:val="00E95BFA"/>
    <w:rsid w:val="00EA736B"/>
    <w:rsid w:val="00EB5BE9"/>
    <w:rsid w:val="00EB6104"/>
    <w:rsid w:val="00EC0FA5"/>
    <w:rsid w:val="00EC4651"/>
    <w:rsid w:val="00EC57F1"/>
    <w:rsid w:val="00ED03A5"/>
    <w:rsid w:val="00ED0CB1"/>
    <w:rsid w:val="00ED152B"/>
    <w:rsid w:val="00ED2018"/>
    <w:rsid w:val="00ED280A"/>
    <w:rsid w:val="00ED2CA1"/>
    <w:rsid w:val="00ED2D49"/>
    <w:rsid w:val="00ED37C6"/>
    <w:rsid w:val="00ED3F7C"/>
    <w:rsid w:val="00ED51B8"/>
    <w:rsid w:val="00ED7875"/>
    <w:rsid w:val="00EE20BE"/>
    <w:rsid w:val="00EE219F"/>
    <w:rsid w:val="00EE5A6D"/>
    <w:rsid w:val="00EE7415"/>
    <w:rsid w:val="00EF0593"/>
    <w:rsid w:val="00EF2A90"/>
    <w:rsid w:val="00EF2D77"/>
    <w:rsid w:val="00EF5516"/>
    <w:rsid w:val="00F0054A"/>
    <w:rsid w:val="00F011B3"/>
    <w:rsid w:val="00F04868"/>
    <w:rsid w:val="00F06054"/>
    <w:rsid w:val="00F06ECD"/>
    <w:rsid w:val="00F07B9B"/>
    <w:rsid w:val="00F07D03"/>
    <w:rsid w:val="00F07E19"/>
    <w:rsid w:val="00F1030F"/>
    <w:rsid w:val="00F107EC"/>
    <w:rsid w:val="00F23038"/>
    <w:rsid w:val="00F36600"/>
    <w:rsid w:val="00F4052C"/>
    <w:rsid w:val="00F4211D"/>
    <w:rsid w:val="00F42DB8"/>
    <w:rsid w:val="00F43522"/>
    <w:rsid w:val="00F5135F"/>
    <w:rsid w:val="00F534BD"/>
    <w:rsid w:val="00F5765C"/>
    <w:rsid w:val="00F63B7A"/>
    <w:rsid w:val="00F66F9C"/>
    <w:rsid w:val="00F71A0A"/>
    <w:rsid w:val="00F840E5"/>
    <w:rsid w:val="00F8548B"/>
    <w:rsid w:val="00F872F5"/>
    <w:rsid w:val="00F919D7"/>
    <w:rsid w:val="00F962C0"/>
    <w:rsid w:val="00FA1ED4"/>
    <w:rsid w:val="00FA742A"/>
    <w:rsid w:val="00FA7A15"/>
    <w:rsid w:val="00FB3CA2"/>
    <w:rsid w:val="00FB71AB"/>
    <w:rsid w:val="00FC31C9"/>
    <w:rsid w:val="00FC66DB"/>
    <w:rsid w:val="00FD03C0"/>
    <w:rsid w:val="00FD212C"/>
    <w:rsid w:val="00FD2904"/>
    <w:rsid w:val="00FD4F4C"/>
    <w:rsid w:val="00FD568C"/>
    <w:rsid w:val="00FD59B4"/>
    <w:rsid w:val="00FE104B"/>
    <w:rsid w:val="00FE3160"/>
    <w:rsid w:val="00FF0483"/>
    <w:rsid w:val="00FF2BBE"/>
    <w:rsid w:val="00FF7026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276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8A9"/>
    <w:rPr>
      <w:sz w:val="24"/>
      <w:szCs w:val="24"/>
    </w:rPr>
  </w:style>
  <w:style w:type="paragraph" w:styleId="Ttulo1">
    <w:name w:val="heading 1"/>
    <w:basedOn w:val="Normal"/>
    <w:next w:val="Normal"/>
    <w:qFormat/>
    <w:rsid w:val="006948A9"/>
    <w:pPr>
      <w:keepNext/>
      <w:ind w:left="187"/>
      <w:jc w:val="both"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Normal"/>
    <w:qFormat/>
    <w:rsid w:val="006948A9"/>
    <w:pPr>
      <w:keepNext/>
      <w:ind w:left="360"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6948A9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qFormat/>
    <w:rsid w:val="006948A9"/>
    <w:pPr>
      <w:keepNext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rsid w:val="006948A9"/>
    <w:pPr>
      <w:keepNext/>
      <w:ind w:left="426" w:hanging="426"/>
      <w:jc w:val="center"/>
      <w:outlineLvl w:val="4"/>
    </w:pPr>
    <w:rPr>
      <w:rFonts w:ascii="Arial" w:hAnsi="Arial"/>
      <w:szCs w:val="20"/>
    </w:rPr>
  </w:style>
  <w:style w:type="paragraph" w:styleId="Ttulo6">
    <w:name w:val="heading 6"/>
    <w:basedOn w:val="Normal"/>
    <w:next w:val="Normal"/>
    <w:qFormat/>
    <w:rsid w:val="006948A9"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6948A9"/>
    <w:pPr>
      <w:keepNext/>
      <w:spacing w:before="240"/>
      <w:ind w:left="284"/>
      <w:jc w:val="center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rsid w:val="002E6571"/>
    <w:pPr>
      <w:keepNext/>
      <w:tabs>
        <w:tab w:val="num" w:pos="405"/>
        <w:tab w:val="left" w:pos="1276"/>
      </w:tabs>
      <w:ind w:left="405" w:hanging="405"/>
      <w:jc w:val="both"/>
      <w:outlineLvl w:val="7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8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6948A9"/>
    <w:pPr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rsid w:val="006948A9"/>
    <w:pPr>
      <w:ind w:left="1560" w:hanging="709"/>
      <w:jc w:val="both"/>
    </w:pPr>
    <w:rPr>
      <w:rFonts w:ascii="Arial" w:hAnsi="Arial"/>
      <w:b/>
      <w:sz w:val="18"/>
      <w:szCs w:val="20"/>
    </w:rPr>
  </w:style>
  <w:style w:type="paragraph" w:styleId="Recuodecorpodetexto3">
    <w:name w:val="Body Text Indent 3"/>
    <w:basedOn w:val="Normal"/>
    <w:rsid w:val="006948A9"/>
    <w:pPr>
      <w:ind w:left="993" w:hanging="567"/>
      <w:jc w:val="both"/>
    </w:pPr>
    <w:rPr>
      <w:color w:val="000000"/>
      <w:sz w:val="22"/>
      <w:szCs w:val="20"/>
    </w:rPr>
  </w:style>
  <w:style w:type="paragraph" w:styleId="Corpodetexto3">
    <w:name w:val="Body Text 3"/>
    <w:basedOn w:val="Normal"/>
    <w:rsid w:val="006948A9"/>
    <w:pPr>
      <w:jc w:val="both"/>
    </w:pPr>
    <w:rPr>
      <w:rFonts w:ascii="Arial" w:hAnsi="Arial"/>
      <w:bCs/>
      <w:sz w:val="22"/>
    </w:rPr>
  </w:style>
  <w:style w:type="paragraph" w:customStyle="1" w:styleId="RECUO1">
    <w:name w:val="RECUO1"/>
    <w:basedOn w:val="Normal"/>
    <w:rsid w:val="006948A9"/>
    <w:pPr>
      <w:ind w:right="-1708"/>
      <w:jc w:val="both"/>
    </w:pPr>
    <w:rPr>
      <w:rFonts w:ascii="Arial" w:hAnsi="Arial"/>
      <w:sz w:val="22"/>
      <w:szCs w:val="20"/>
      <w:lang w:val="pt-PT"/>
    </w:rPr>
  </w:style>
  <w:style w:type="paragraph" w:styleId="Recuodecorpodetexto2">
    <w:name w:val="Body Text Indent 2"/>
    <w:basedOn w:val="Normal"/>
    <w:rsid w:val="006948A9"/>
    <w:pPr>
      <w:ind w:left="708"/>
      <w:jc w:val="both"/>
    </w:pPr>
    <w:rPr>
      <w:rFonts w:ascii="Arial" w:hAnsi="Arial"/>
      <w:sz w:val="18"/>
      <w:szCs w:val="20"/>
    </w:rPr>
  </w:style>
  <w:style w:type="paragraph" w:styleId="Corpodetexto2">
    <w:name w:val="Body Text 2"/>
    <w:basedOn w:val="Normal"/>
    <w:rsid w:val="006948A9"/>
    <w:pPr>
      <w:ind w:firstLine="708"/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rsid w:val="006948A9"/>
  </w:style>
  <w:style w:type="paragraph" w:styleId="Ttulo">
    <w:name w:val="Title"/>
    <w:basedOn w:val="Normal"/>
    <w:qFormat/>
    <w:rsid w:val="006948A9"/>
    <w:pPr>
      <w:jc w:val="center"/>
    </w:pPr>
    <w:rPr>
      <w:b/>
      <w:szCs w:val="20"/>
    </w:rPr>
  </w:style>
  <w:style w:type="paragraph" w:styleId="NormalWeb">
    <w:name w:val="Normal (Web)"/>
    <w:basedOn w:val="Normal"/>
    <w:rsid w:val="006948A9"/>
    <w:pPr>
      <w:spacing w:before="100" w:after="100"/>
    </w:pPr>
    <w:rPr>
      <w:rFonts w:ascii="Arial" w:eastAsia="Arial Unicode MS" w:hAnsi="Arial"/>
      <w:sz w:val="20"/>
      <w:szCs w:val="20"/>
    </w:rPr>
  </w:style>
  <w:style w:type="paragraph" w:styleId="Rodap">
    <w:name w:val="footer"/>
    <w:basedOn w:val="Normal"/>
    <w:rsid w:val="006948A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948A9"/>
    <w:rPr>
      <w:color w:val="0000FF"/>
      <w:u w:val="single"/>
    </w:rPr>
  </w:style>
  <w:style w:type="character" w:styleId="HiperlinkVisitado">
    <w:name w:val="FollowedHyperlink"/>
    <w:basedOn w:val="Fontepargpadro"/>
    <w:rsid w:val="006948A9"/>
    <w:rPr>
      <w:color w:val="800080"/>
      <w:u w:val="single"/>
    </w:rPr>
  </w:style>
  <w:style w:type="paragraph" w:styleId="Textodebalo">
    <w:name w:val="Balloon Text"/>
    <w:basedOn w:val="Normal"/>
    <w:semiHidden/>
    <w:rsid w:val="006948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7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rsid w:val="00EB5BE9"/>
    <w:rPr>
      <w:sz w:val="16"/>
      <w:szCs w:val="16"/>
    </w:rPr>
  </w:style>
  <w:style w:type="paragraph" w:styleId="Textodecomentrio">
    <w:name w:val="annotation text"/>
    <w:basedOn w:val="Normal"/>
    <w:semiHidden/>
    <w:rsid w:val="00EB5B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EB5BE9"/>
    <w:rPr>
      <w:b/>
      <w:bCs/>
    </w:rPr>
  </w:style>
  <w:style w:type="paragraph" w:customStyle="1" w:styleId="TextosemFormatao1">
    <w:name w:val="Texto sem Formatação1"/>
    <w:basedOn w:val="Normal"/>
    <w:rsid w:val="00AD31B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AD31B9"/>
    <w:pPr>
      <w:suppressAutoHyphens/>
      <w:spacing w:after="120" w:line="480" w:lineRule="auto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1308-4994-4E22-AB82-AF016B7C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1862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/2006-RTR</vt:lpstr>
    </vt:vector>
  </TitlesOfParts>
  <Company>UEMS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/2006-RTR</dc:title>
  <dc:creator>UEMS</dc:creator>
  <cp:lastModifiedBy>Everton</cp:lastModifiedBy>
  <cp:revision>15</cp:revision>
  <cp:lastPrinted>2012-07-29T21:59:00Z</cp:lastPrinted>
  <dcterms:created xsi:type="dcterms:W3CDTF">2012-07-29T01:46:00Z</dcterms:created>
  <dcterms:modified xsi:type="dcterms:W3CDTF">2012-08-14T01:33:00Z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