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/>
      </w:r>
    </w:p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USO DO PROBIÓTICO E PARAPROBIÓTICO (</w:t>
      </w:r>
      <w:r>
        <w:rPr>
          <w:b/>
          <w:bCs/>
          <w:i/>
          <w:iCs/>
          <w:sz w:val="20"/>
          <w:szCs w:val="20"/>
          <w:lang w:eastAsia="pt-BR"/>
        </w:rPr>
        <w:t>Lactobacillus rhamnosus</w:t>
      </w:r>
      <w:r>
        <w:rPr>
          <w:b/>
          <w:bCs/>
          <w:sz w:val="20"/>
          <w:szCs w:val="20"/>
          <w:lang w:eastAsia="pt-BR"/>
        </w:rPr>
        <w:t>) NO DESEMPENHO PRODUTIVO e MICROBIOTA INTESTINAL DO DOURADO (</w:t>
      </w:r>
      <w:r>
        <w:rPr>
          <w:b/>
          <w:bCs/>
          <w:i/>
          <w:iCs/>
          <w:sz w:val="20"/>
          <w:szCs w:val="20"/>
          <w:lang w:eastAsia="pt-BR"/>
        </w:rPr>
        <w:t>Salminus brasiliensis</w:t>
      </w:r>
      <w:r>
        <w:rPr>
          <w:b/>
          <w:bCs/>
          <w:sz w:val="20"/>
          <w:szCs w:val="20"/>
          <w:lang w:eastAsia="pt-BR"/>
        </w:rPr>
        <w:t>)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– UEMS Aquidauana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>Área temática: Aquicultura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MENDEZ, </w:t>
      </w:r>
      <w:r>
        <w:rPr>
          <w:rFonts w:eastAsia="Calibri"/>
          <w:sz w:val="20"/>
          <w:szCs w:val="20"/>
          <w:lang w:eastAsia="zh-CN"/>
        </w:rPr>
        <w:t>Victor Hugo Benassi</w:t>
      </w:r>
      <w:r>
        <w:rPr>
          <w:rFonts w:eastAsia="Calibri"/>
          <w:sz w:val="20"/>
          <w:szCs w:val="20"/>
          <w:vertAlign w:val="superscript"/>
          <w:lang w:eastAsia="zh-CN"/>
        </w:rPr>
        <w:t>1,2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victorhugobenassi@gmail.com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ACUNHA, </w:t>
      </w:r>
      <w:r>
        <w:rPr>
          <w:rFonts w:eastAsia="Calibri"/>
          <w:sz w:val="20"/>
          <w:szCs w:val="20"/>
          <w:lang w:eastAsia="zh-CN"/>
        </w:rPr>
        <w:t>Rubia Mara Gomes</w:t>
      </w:r>
      <w:r>
        <w:rPr>
          <w:rFonts w:eastAsia="Calibri"/>
          <w:sz w:val="20"/>
          <w:szCs w:val="20"/>
          <w:vertAlign w:val="superscript"/>
          <w:lang w:eastAsia="zh-CN"/>
        </w:rPr>
        <w:t>2,3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rubia.zootec18@gmail.com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WANDERLEY, </w:t>
      </w:r>
      <w:r>
        <w:rPr>
          <w:rFonts w:eastAsia="Calibri"/>
          <w:sz w:val="20"/>
          <w:szCs w:val="20"/>
          <w:lang w:eastAsia="zh-CN"/>
        </w:rPr>
        <w:t>Alysson Martins</w:t>
      </w:r>
      <w:r>
        <w:rPr>
          <w:rFonts w:eastAsia="Calibri"/>
          <w:sz w:val="20"/>
          <w:szCs w:val="20"/>
          <w:vertAlign w:val="superscript"/>
          <w:lang w:eastAsia="zh-CN"/>
        </w:rPr>
        <w:t>1,2,</w:t>
      </w:r>
      <w:r>
        <w:rPr>
          <w:rFonts w:eastAsia="Calibri"/>
          <w:sz w:val="20"/>
          <w:szCs w:val="20"/>
          <w:lang w:eastAsia="zh-CN"/>
        </w:rPr>
        <w:t xml:space="preserve">  (</w:t>
      </w:r>
      <w:hyperlink r:id="rId4">
        <w:r>
          <w:rPr>
            <w:rStyle w:val="LinkdaInternet"/>
            <w:rFonts w:eastAsia="Calibri"/>
            <w:sz w:val="20"/>
            <w:szCs w:val="20"/>
            <w:lang w:eastAsia="zh-CN"/>
          </w:rPr>
          <w:t>alysson_zoo@uems.br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OLIVEIRA, </w:t>
      </w:r>
      <w:r>
        <w:rPr>
          <w:rFonts w:eastAsia="Calibri"/>
          <w:sz w:val="20"/>
          <w:szCs w:val="20"/>
          <w:lang w:eastAsia="zh-CN"/>
        </w:rPr>
        <w:t>Fúlvia Cristina</w:t>
      </w:r>
      <w:r>
        <w:rPr>
          <w:rFonts w:eastAsia="Calibri"/>
          <w:sz w:val="20"/>
          <w:szCs w:val="20"/>
          <w:vertAlign w:val="superscript"/>
          <w:lang w:eastAsia="zh-CN"/>
        </w:rPr>
        <w:t>2,4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5">
        <w:r>
          <w:rPr>
            <w:rStyle w:val="LinkdaInternet"/>
            <w:rFonts w:eastAsia="Calibri"/>
            <w:sz w:val="20"/>
            <w:szCs w:val="20"/>
            <w:lang w:eastAsia="zh-CN"/>
          </w:rPr>
          <w:t>fulcris@yahoo.com.br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MOURIÑO, </w:t>
      </w:r>
      <w:r>
        <w:rPr>
          <w:rFonts w:eastAsia="Calibri"/>
          <w:sz w:val="20"/>
          <w:szCs w:val="20"/>
          <w:lang w:eastAsia="zh-CN"/>
        </w:rPr>
        <w:t>José Luiz Pedreira</w:t>
      </w: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6">
        <w:r>
          <w:rPr>
            <w:rStyle w:val="LinkdaInternet"/>
            <w:rFonts w:eastAsia="Calibri"/>
            <w:sz w:val="20"/>
            <w:szCs w:val="20"/>
            <w:lang w:eastAsia="zh-CN"/>
          </w:rPr>
          <w:t>jose.mourino@ufsc.br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MELDAU, </w:t>
      </w:r>
      <w:r>
        <w:rPr>
          <w:rFonts w:eastAsia="Calibri"/>
          <w:sz w:val="20"/>
          <w:szCs w:val="20"/>
          <w:lang w:eastAsia="zh-CN"/>
        </w:rPr>
        <w:t>Cristiane de Campos</w:t>
      </w:r>
      <w:r>
        <w:rPr>
          <w:rFonts w:eastAsia="Calibri"/>
          <w:sz w:val="20"/>
          <w:szCs w:val="20"/>
          <w:vertAlign w:val="superscript"/>
          <w:lang w:eastAsia="zh-CN"/>
        </w:rPr>
        <w:t>1,2,3,6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7">
        <w:r>
          <w:rPr>
            <w:rStyle w:val="LinkdaInternet"/>
            <w:rFonts w:eastAsia="Calibri"/>
            <w:sz w:val="20"/>
            <w:szCs w:val="20"/>
            <w:lang w:eastAsia="zh-CN"/>
          </w:rPr>
          <w:t>cmeldau@uems.br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>Curso de Zootecnia, Unidade Estadual de Mato Grosso do Sul/UEMS, Aquidauana-MS;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>Centro de Excelência em Ciência Animal no Cerrado e Pantanal/CECA-CP, UEMS, Aquidauana-MS 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>Programa de Pós Graduação em Ciência Animal, Universidade Federal de Mato Grosso do Sul, Campo Grande-MS;</w:t>
      </w:r>
    </w:p>
    <w:p>
      <w:pPr>
        <w:pStyle w:val="Corpodo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sz w:val="20"/>
          <w:szCs w:val="20"/>
        </w:rPr>
        <w:t>Programa de Pós-graduação em Ciência Animal,</w:t>
      </w:r>
      <w:r>
        <w:rPr/>
        <w:t xml:space="preserve"> </w:t>
      </w:r>
      <w:r>
        <w:rPr>
          <w:rFonts w:eastAsia="Calibri"/>
          <w:sz w:val="20"/>
          <w:szCs w:val="20"/>
          <w:lang w:eastAsia="zh-CN"/>
        </w:rPr>
        <w:t>Universidade Estadual do Norte Fluminense - Darcy Ribeiro, RJ;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>Programa de Pós-Graduação em Aquicultura, Universidade Federal de Santa Catarina, Florianópolis-SC;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>Programa de Pós- Graduação em Zootecnia , UEMS, Aquidauana-MS.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Corpodotexto"/>
        <w:spacing w:before="0" w:after="283"/>
        <w:jc w:val="both"/>
        <w:rPr>
          <w:sz w:val="20"/>
          <w:szCs w:val="20"/>
          <w:lang w:val="pt-BR" w:eastAsia="pt-BR"/>
        </w:rPr>
      </w:pPr>
      <w:r>
        <w:rPr>
          <w:sz w:val="20"/>
          <w:szCs w:val="20"/>
          <w:lang w:eastAsia="pt-BR"/>
        </w:rPr>
        <w:t xml:space="preserve">A indústria da aquicultura tem o interesse de substituir as drogas antimicrobianas por profiláticos alternativos, por isso a utilização de eubióticos tem sido adotada como prática sustentável, minimizando o uso de produtos químicos e promovendo a sanidade dos animais cultivados. Com este trabalho, o objetivo foi determinar o potencial da bactéria </w:t>
      </w:r>
      <w:r>
        <w:rPr>
          <w:i/>
          <w:iCs/>
          <w:sz w:val="20"/>
          <w:szCs w:val="20"/>
          <w:lang w:eastAsia="pt-BR"/>
        </w:rPr>
        <w:t>Lactobacillus rhamnosos</w:t>
      </w:r>
      <w:r>
        <w:rPr>
          <w:sz w:val="20"/>
          <w:szCs w:val="20"/>
          <w:lang w:eastAsia="pt-BR"/>
        </w:rPr>
        <w:t xml:space="preserve"> como probiótico, paraprobiótico e sua combinação sobre o desempenho zootécnico e microbiota intestinal do dourado (</w:t>
      </w:r>
      <w:r>
        <w:rPr>
          <w:i/>
          <w:iCs/>
          <w:sz w:val="20"/>
          <w:szCs w:val="20"/>
          <w:lang w:eastAsia="pt-BR"/>
        </w:rPr>
        <w:t>Salminus brasiliensis</w:t>
      </w:r>
      <w:r>
        <w:rPr>
          <w:sz w:val="20"/>
          <w:szCs w:val="20"/>
          <w:lang w:eastAsia="pt-BR"/>
        </w:rPr>
        <w:t>).</w:t>
      </w:r>
      <w:r>
        <w:rPr/>
        <w:t xml:space="preserve"> </w:t>
      </w:r>
      <w:r>
        <w:rPr>
          <w:sz w:val="20"/>
          <w:szCs w:val="20"/>
          <w:lang w:eastAsia="pt-BR"/>
        </w:rPr>
        <w:t>O experimento foi realizado em delineamento inteiramente casualizado, constituído por quatro tratamentos com quatro repetições: Probiótico (10</w:t>
      </w:r>
      <w:r>
        <w:rPr>
          <w:sz w:val="20"/>
          <w:szCs w:val="20"/>
          <w:vertAlign w:val="superscript"/>
          <w:lang w:val="pt-BR" w:eastAsia="pt-BR"/>
        </w:rPr>
        <w:t xml:space="preserve">8 </w:t>
      </w:r>
      <w:r>
        <w:rPr>
          <w:sz w:val="20"/>
          <w:szCs w:val="20"/>
          <w:lang w:eastAsia="pt-BR"/>
        </w:rPr>
        <w:t xml:space="preserve"> UFC); Paraprobiótico (10</w:t>
      </w:r>
      <w:r>
        <w:rPr>
          <w:sz w:val="20"/>
          <w:szCs w:val="20"/>
          <w:vertAlign w:val="superscript"/>
          <w:lang w:eastAsia="pt-BR"/>
        </w:rPr>
        <w:t>10</w:t>
      </w:r>
      <w:r>
        <w:rPr>
          <w:sz w:val="20"/>
          <w:szCs w:val="20"/>
          <w:lang w:eastAsia="pt-BR"/>
        </w:rPr>
        <w:t xml:space="preserve"> UFC), Probiótico (10</w:t>
      </w:r>
      <w:r>
        <w:rPr>
          <w:sz w:val="20"/>
          <w:szCs w:val="20"/>
          <w:vertAlign w:val="superscript"/>
          <w:lang w:eastAsia="pt-BR"/>
        </w:rPr>
        <w:t>8</w:t>
      </w:r>
      <w:r>
        <w:rPr>
          <w:sz w:val="20"/>
          <w:szCs w:val="20"/>
          <w:lang w:eastAsia="pt-BR"/>
        </w:rPr>
        <w:t xml:space="preserve"> UFC) + Paraprobiótico (10</w:t>
      </w:r>
      <w:r>
        <w:rPr>
          <w:sz w:val="20"/>
          <w:szCs w:val="20"/>
          <w:vertAlign w:val="superscript"/>
          <w:lang w:eastAsia="pt-BR"/>
        </w:rPr>
        <w:t>10</w:t>
      </w:r>
      <w:r>
        <w:rPr>
          <w:sz w:val="20"/>
          <w:szCs w:val="20"/>
          <w:lang w:eastAsia="pt-BR"/>
        </w:rPr>
        <w:t xml:space="preserve"> UFC), adicionados na dieta basal dos animais com o óleo de soja servindo como meio para a adição, e o controle, no qual foi adicionado apenas óleo de soja. Foram utilizados 16 tanques com volume útil de 300L, fotoperíodo controlado (12 horas claro, 12 horas escuro), com fluxo contínuo de água. O experimento desenvolveu-se utilizando ração comercial destinada a peixes carnívoros com 45% de proteína bruta, com o </w:t>
      </w:r>
      <w:r>
        <w:rPr>
          <w:i/>
          <w:iCs/>
          <w:sz w:val="20"/>
          <w:szCs w:val="20"/>
          <w:lang w:eastAsia="pt-BR"/>
        </w:rPr>
        <w:t>Lactobacillus rhamnosus</w:t>
      </w:r>
      <w:r>
        <w:rPr>
          <w:sz w:val="20"/>
          <w:szCs w:val="20"/>
          <w:lang w:eastAsia="pt-BR"/>
        </w:rPr>
        <w:t xml:space="preserve"> como probiótico, paraprobiótico e sua combinação. Foram utilizados 240 juvenis de dourado (</w:t>
      </w:r>
      <w:r>
        <w:rPr>
          <w:i/>
          <w:iCs/>
          <w:sz w:val="20"/>
          <w:szCs w:val="20"/>
          <w:lang w:eastAsia="pt-BR"/>
        </w:rPr>
        <w:t>Salminus brasiliensis</w:t>
      </w:r>
      <w:r>
        <w:rPr>
          <w:sz w:val="20"/>
          <w:szCs w:val="20"/>
          <w:lang w:eastAsia="pt-BR"/>
        </w:rPr>
        <w:t>) com cerca de 7g de peso vivo, sendo 15 peixes por tanque.</w:t>
      </w:r>
      <w:r>
        <w:rPr>
          <w:sz w:val="22"/>
          <w:szCs w:val="22"/>
        </w:rPr>
        <w:t xml:space="preserve"> </w:t>
      </w:r>
      <w:r>
        <w:rPr>
          <w:sz w:val="20"/>
          <w:szCs w:val="20"/>
          <w:lang w:eastAsia="pt-BR"/>
        </w:rPr>
        <w:t xml:space="preserve">Após a biometria inicial, os peixes receberam ração experimental por 45 dias, com ajustes quinzenais baseados na biomassa do tanque. Após um jejum de 24 horas, foi feita a biometria final, avaliando ganho de peso, comprimento, consumo de ração, conversão alimentar e taxa de crescimento. Para análise da metagenômica intestinal, foi feito um </w:t>
      </w:r>
      <w:r>
        <w:rPr>
          <w:i/>
          <w:iCs/>
          <w:sz w:val="20"/>
          <w:szCs w:val="20"/>
          <w:lang w:eastAsia="pt-BR"/>
        </w:rPr>
        <w:t>pool</w:t>
      </w:r>
      <w:r>
        <w:rPr>
          <w:sz w:val="20"/>
          <w:szCs w:val="20"/>
          <w:lang w:eastAsia="pt-BR"/>
        </w:rPr>
        <w:t xml:space="preserve"> de raspado intestinal de cinco peixes de cada repetição, para amplificação da região do gene 16S do ácido ribonbucleico ribossomal e sequenciamento de alto rendimento, com 30 mil reads. Os dados foram analisados através do software R, utilizando testes de Kruskal-Wallis com 5% de significância e testes post-hoc de Dunn.</w:t>
      </w:r>
      <w:r>
        <w:rPr>
          <w:color w:val="222222"/>
          <w:sz w:val="20"/>
          <w:szCs w:val="20"/>
          <w:shd w:fill="FFFFFF" w:val="clear"/>
        </w:rPr>
        <w:t xml:space="preserve"> </w:t>
      </w:r>
      <w:r>
        <w:rPr>
          <w:sz w:val="20"/>
          <w:szCs w:val="20"/>
          <w:lang w:eastAsia="pt-BR"/>
        </w:rPr>
        <w:t xml:space="preserve">O maior ganho de peso (9,03g) e a menor conversão alimentar foram observados nos peixes que receberam dieta com o probiótico, embora sem diferença significativa em relação aos peixes dos outros tratamentos. Foram encontrados, na microbiota intestinal dos dourados, 26 gêneros e 47 espécies de bactérias, sendo que a maior diversidade e abundância microbiológica foram encontradas nos peixes que receberam dieta com probiótico. A bactéria </w:t>
      </w:r>
      <w:r>
        <w:rPr>
          <w:i/>
          <w:iCs/>
          <w:sz w:val="20"/>
          <w:szCs w:val="20"/>
          <w:lang w:eastAsia="pt-BR"/>
        </w:rPr>
        <w:t>Enterobacteriaceae bacterium</w:t>
      </w:r>
      <w:r>
        <w:rPr>
          <w:sz w:val="20"/>
          <w:szCs w:val="20"/>
          <w:lang w:eastAsia="pt-BR"/>
        </w:rPr>
        <w:t xml:space="preserve"> foi a mais abundante e, junto com </w:t>
      </w:r>
      <w:r>
        <w:rPr>
          <w:i/>
          <w:iCs/>
          <w:sz w:val="20"/>
          <w:szCs w:val="20"/>
          <w:lang w:eastAsia="pt-BR"/>
        </w:rPr>
        <w:t>Aeromonas cavie</w:t>
      </w:r>
      <w:r>
        <w:rPr>
          <w:sz w:val="20"/>
          <w:szCs w:val="20"/>
          <w:lang w:eastAsia="pt-BR"/>
        </w:rPr>
        <w:t xml:space="preserve"> foram as mais frequentes. Os gêneros de bactérias mais frequentes na microbiota dos dourados foram </w:t>
      </w:r>
      <w:r>
        <w:rPr>
          <w:i/>
          <w:iCs/>
          <w:sz w:val="20"/>
          <w:szCs w:val="20"/>
          <w:lang w:eastAsia="pt-BR"/>
        </w:rPr>
        <w:t>Serratia</w:t>
      </w:r>
      <w:r>
        <w:rPr>
          <w:sz w:val="20"/>
          <w:szCs w:val="20"/>
          <w:lang w:eastAsia="pt-BR"/>
        </w:rPr>
        <w:t xml:space="preserve"> (nos tratamentos probiótico e simbiótico), </w:t>
      </w:r>
      <w:r>
        <w:rPr>
          <w:i/>
          <w:iCs/>
          <w:sz w:val="20"/>
          <w:szCs w:val="20"/>
          <w:lang w:eastAsia="pt-BR"/>
        </w:rPr>
        <w:t>Aeromonas</w:t>
      </w:r>
      <w:r>
        <w:rPr>
          <w:sz w:val="20"/>
          <w:szCs w:val="20"/>
          <w:lang w:eastAsia="pt-BR"/>
        </w:rPr>
        <w:t xml:space="preserve"> (nos tratamentos paraprobiótico e simbiótico) e </w:t>
      </w:r>
      <w:r>
        <w:rPr>
          <w:i/>
          <w:iCs/>
          <w:sz w:val="20"/>
          <w:szCs w:val="20"/>
          <w:lang w:eastAsia="pt-BR"/>
        </w:rPr>
        <w:t>Ewingella</w:t>
      </w:r>
      <w:r>
        <w:rPr>
          <w:sz w:val="20"/>
          <w:szCs w:val="20"/>
          <w:lang w:eastAsia="pt-BR"/>
        </w:rPr>
        <w:t xml:space="preserve"> (no paraprobiótico).</w:t>
      </w:r>
      <w:r>
        <w:rPr>
          <w:lang w:val="pt-BR" w:eastAsia="pt-BR"/>
        </w:rPr>
        <w:t xml:space="preserve"> </w:t>
      </w:r>
      <w:r>
        <w:rPr>
          <w:sz w:val="20"/>
          <w:szCs w:val="20"/>
          <w:lang w:val="pt-BR" w:eastAsia="pt-BR"/>
        </w:rPr>
        <w:t xml:space="preserve">Conclui-se que os tratamentos avaliados não interferem no desempenho zootécnico de dourados, entretanto, o probiótico </w:t>
      </w:r>
      <w:r>
        <w:rPr>
          <w:i/>
          <w:iCs/>
          <w:sz w:val="20"/>
          <w:szCs w:val="20"/>
          <w:lang w:eastAsia="pt-BR"/>
        </w:rPr>
        <w:t>Lactobacillus rhamnosos</w:t>
      </w:r>
      <w:r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val="pt-BR" w:eastAsia="pt-BR"/>
        </w:rPr>
        <w:t xml:space="preserve">proporcionou maior diversidade de gêneros e espécies de bactérias na microbiota intestinal dessa espécie de peixe. 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bactérias intestinais, peixe carnívoro, práticas sustentáveis. 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Ao Conselho Nacional de Desenvolvimento Científico e Tecnológico – CNPq, pela concessão da bolsa PIBIC ao primeiro autor; ao membros do Programa Peixe Sempre pelo auxílio no experimento e à FUNDECT pelo apoio financeiro ao projeto Proc. 71/004.568/2022.</w:t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281d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1d1f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ctorhugobenassi@gmail.com" TargetMode="External"/><Relationship Id="rId3" Type="http://schemas.openxmlformats.org/officeDocument/2006/relationships/hyperlink" Target="mailto:rubia.zootec18@gmail.com" TargetMode="External"/><Relationship Id="rId4" Type="http://schemas.openxmlformats.org/officeDocument/2006/relationships/hyperlink" Target="mailto:alysson_zoo@uems.brm" TargetMode="External"/><Relationship Id="rId5" Type="http://schemas.openxmlformats.org/officeDocument/2006/relationships/hyperlink" Target="mailto:fulcris@yahoo.com.br" TargetMode="External"/><Relationship Id="rId6" Type="http://schemas.openxmlformats.org/officeDocument/2006/relationships/hyperlink" Target="mailto:jose.mourino@ufsc.br" TargetMode="External"/><Relationship Id="rId7" Type="http://schemas.openxmlformats.org/officeDocument/2006/relationships/hyperlink" Target="mailto:cmeldau@uems.br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615</Words>
  <Characters>3891</Characters>
  <CharactersWithSpaces>4503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2024-08-09T21:26:00Z</dcterms:created>
  <dc:creator>Usuário do Windows</dc:creator>
  <dc:description/>
  <dc:language>pt-BR</dc:language>
  <cp:lastModifiedBy/>
  <cp:lastPrinted>2023-01-31T14:18:00Z</cp:lastPrinted>
  <dcterms:modified xsi:type="dcterms:W3CDTF">2024-08-13T10:20:44Z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