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4741" w14:textId="24F0F67C" w:rsidR="00C71A50" w:rsidRDefault="00CA0D8C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EFEITO DA APLICAÇÃO DE PIRIDOXINA E NIACINA NA CULTURA DA SOJA</w:t>
      </w:r>
    </w:p>
    <w:p w14:paraId="6AB470D6" w14:textId="07B0F674" w:rsidR="00C71A50" w:rsidRDefault="00AC6AE4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9D776D" w:rsidRPr="009D776D">
        <w:rPr>
          <w:bCs/>
          <w:sz w:val="20"/>
          <w:szCs w:val="20"/>
        </w:rPr>
        <w:t>Universidade Estadual de Mato Grosso do Sul</w:t>
      </w:r>
      <w:r w:rsidR="009D776D">
        <w:rPr>
          <w:b/>
          <w:bCs/>
          <w:sz w:val="20"/>
          <w:szCs w:val="20"/>
        </w:rPr>
        <w:t xml:space="preserve"> - </w:t>
      </w:r>
      <w:r w:rsidR="00CA0D8C">
        <w:rPr>
          <w:sz w:val="20"/>
          <w:szCs w:val="20"/>
        </w:rPr>
        <w:t>UEMS</w:t>
      </w:r>
    </w:p>
    <w:p w14:paraId="2759B4FC" w14:textId="43786878" w:rsidR="00C71A50" w:rsidRDefault="00AC6AE4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9D776D" w:rsidRPr="009D776D">
        <w:rPr>
          <w:bCs/>
          <w:sz w:val="20"/>
          <w:szCs w:val="20"/>
        </w:rPr>
        <w:t>Ciências Agrárias - Agronomia - Fitotecnia</w:t>
      </w:r>
    </w:p>
    <w:p w14:paraId="3780E8F6" w14:textId="4C0D83B1" w:rsidR="00C71A50" w:rsidRDefault="00CA0D8C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TENÓRIO, </w:t>
      </w:r>
      <w:r>
        <w:rPr>
          <w:rFonts w:eastAsia="Calibri"/>
          <w:sz w:val="20"/>
          <w:szCs w:val="20"/>
          <w:lang w:eastAsia="zh-CN"/>
        </w:rPr>
        <w:t>João Pedro Barreto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8D3A54">
          <w:rPr>
            <w:rStyle w:val="Hyperlink"/>
            <w:rFonts w:eastAsia="Calibri"/>
            <w:sz w:val="20"/>
            <w:szCs w:val="20"/>
            <w:lang w:eastAsia="zh-CN"/>
          </w:rPr>
          <w:t>joaotenorio016@hotmail.com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2714C8">
        <w:rPr>
          <w:rFonts w:eastAsia="Calibri"/>
          <w:b/>
          <w:sz w:val="20"/>
          <w:szCs w:val="20"/>
          <w:lang w:eastAsia="zh-CN"/>
        </w:rPr>
        <w:t>MEIRA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2714C8" w:rsidRPr="002714C8">
        <w:rPr>
          <w:rFonts w:eastAsia="Calibri"/>
          <w:sz w:val="20"/>
          <w:szCs w:val="20"/>
          <w:lang w:eastAsia="zh-CN"/>
        </w:rPr>
        <w:t>Leonardo Borges Vasconcelos</w:t>
      </w:r>
      <w:r w:rsidR="002714C8" w:rsidRPr="002714C8"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 w:rsidRPr="002714C8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2714C8" w:rsidRPr="002714C8">
          <w:rPr>
            <w:rStyle w:val="Hyperlink"/>
            <w:rFonts w:eastAsia="Calibri"/>
            <w:sz w:val="20"/>
            <w:szCs w:val="20"/>
            <w:lang w:eastAsia="zh-CN"/>
          </w:rPr>
          <w:t>leomeiraagro@gmail.com</w:t>
        </w:r>
      </w:hyperlink>
      <w:r w:rsidRPr="002714C8">
        <w:rPr>
          <w:rFonts w:eastAsia="Calibri"/>
          <w:sz w:val="20"/>
          <w:szCs w:val="20"/>
          <w:lang w:eastAsia="zh-CN"/>
        </w:rPr>
        <w:t>);</w:t>
      </w:r>
      <w:r w:rsidR="00265A2C">
        <w:rPr>
          <w:rFonts w:eastAsia="Calibri"/>
          <w:sz w:val="20"/>
          <w:szCs w:val="20"/>
          <w:lang w:eastAsia="zh-CN"/>
        </w:rPr>
        <w:t xml:space="preserve"> </w:t>
      </w:r>
      <w:r w:rsidR="00265A2C" w:rsidRPr="00265A2C">
        <w:rPr>
          <w:rFonts w:eastAsia="Calibri"/>
          <w:b/>
          <w:sz w:val="20"/>
          <w:szCs w:val="20"/>
          <w:lang w:eastAsia="zh-CN"/>
        </w:rPr>
        <w:t>VENDRUSCOLO</w:t>
      </w:r>
      <w:r w:rsidR="00265A2C">
        <w:rPr>
          <w:rFonts w:eastAsia="Calibri"/>
          <w:sz w:val="20"/>
          <w:szCs w:val="20"/>
          <w:lang w:eastAsia="zh-CN"/>
        </w:rPr>
        <w:t>, Eduardo Pradi</w:t>
      </w:r>
      <w:r w:rsidR="002714C8">
        <w:rPr>
          <w:rFonts w:eastAsia="Calibri"/>
          <w:sz w:val="20"/>
          <w:szCs w:val="20"/>
          <w:vertAlign w:val="superscript"/>
          <w:lang w:eastAsia="zh-CN"/>
        </w:rPr>
        <w:t>3</w:t>
      </w:r>
      <w:r w:rsidR="00265A2C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265A2C" w:rsidRPr="00517828">
          <w:rPr>
            <w:rStyle w:val="Hyperlink"/>
            <w:rFonts w:eastAsia="Calibri"/>
            <w:sz w:val="20"/>
            <w:szCs w:val="20"/>
            <w:lang w:eastAsia="zh-CN"/>
          </w:rPr>
          <w:t>eduardo.vendruscolo@uems.br</w:t>
        </w:r>
      </w:hyperlink>
      <w:r w:rsidR="00265A2C">
        <w:rPr>
          <w:rFonts w:eastAsia="Calibri"/>
          <w:sz w:val="20"/>
          <w:szCs w:val="20"/>
          <w:lang w:eastAsia="zh-CN"/>
        </w:rPr>
        <w:t xml:space="preserve">); </w:t>
      </w:r>
      <w:r w:rsidR="00265A2C" w:rsidRPr="00265A2C">
        <w:rPr>
          <w:rFonts w:eastAsia="Calibri"/>
          <w:b/>
          <w:sz w:val="20"/>
          <w:szCs w:val="20"/>
          <w:lang w:eastAsia="zh-CN"/>
        </w:rPr>
        <w:t>BORTOLHEIRO</w:t>
      </w:r>
      <w:r w:rsidR="00265A2C">
        <w:rPr>
          <w:rFonts w:eastAsia="Calibri"/>
          <w:sz w:val="20"/>
          <w:szCs w:val="20"/>
          <w:lang w:eastAsia="zh-CN"/>
        </w:rPr>
        <w:t>, Fernanda Pacheco de Almeida Prado</w:t>
      </w:r>
      <w:r w:rsidR="002714C8">
        <w:rPr>
          <w:rFonts w:eastAsia="Calibri"/>
          <w:sz w:val="20"/>
          <w:szCs w:val="20"/>
          <w:vertAlign w:val="superscript"/>
          <w:lang w:eastAsia="zh-CN"/>
        </w:rPr>
        <w:t>4</w:t>
      </w:r>
      <w:r w:rsidR="00265A2C">
        <w:rPr>
          <w:rFonts w:eastAsia="Calibri"/>
          <w:sz w:val="20"/>
          <w:szCs w:val="20"/>
          <w:lang w:eastAsia="zh-CN"/>
        </w:rPr>
        <w:t xml:space="preserve"> (fernanda.bortolheiro@uems.br)</w:t>
      </w:r>
    </w:p>
    <w:p w14:paraId="3256E240" w14:textId="362F15AC" w:rsidR="00C71A50" w:rsidRDefault="00AC6AE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CA0D8C">
        <w:rPr>
          <w:rFonts w:eastAsia="Calibri"/>
          <w:sz w:val="20"/>
          <w:szCs w:val="20"/>
          <w:lang w:eastAsia="zh-CN"/>
        </w:rPr>
        <w:t>Acadêmico(a) do Curso de Agronomia, Universidade Estadual de Mato Grosso do Sul (UEMS), Unidade Universitária de Cassilândia</w:t>
      </w:r>
      <w:r w:rsidR="00865629">
        <w:rPr>
          <w:rFonts w:eastAsia="Calibri"/>
          <w:sz w:val="20"/>
          <w:szCs w:val="20"/>
          <w:lang w:eastAsia="zh-CN"/>
        </w:rPr>
        <w:t>;</w:t>
      </w:r>
      <w:r w:rsidR="00CA0D8C">
        <w:rPr>
          <w:sz w:val="20"/>
          <w:szCs w:val="20"/>
        </w:rPr>
        <w:t xml:space="preserve"> </w:t>
      </w:r>
      <w:r w:rsidR="001F6E3C"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265A2C">
        <w:rPr>
          <w:rFonts w:eastAsia="Calibri"/>
          <w:sz w:val="20"/>
          <w:szCs w:val="20"/>
          <w:lang w:eastAsia="zh-CN"/>
        </w:rPr>
        <w:t>Docente do curso de Agronomia da UEMS – Cassilândia</w:t>
      </w:r>
      <w:r w:rsidR="00865629">
        <w:rPr>
          <w:rFonts w:eastAsia="Calibri"/>
          <w:sz w:val="20"/>
          <w:szCs w:val="20"/>
          <w:lang w:eastAsia="zh-CN"/>
        </w:rPr>
        <w:t>;</w:t>
      </w:r>
      <w:r w:rsidR="00265A2C">
        <w:rPr>
          <w:rFonts w:eastAsia="Calibri"/>
          <w:sz w:val="20"/>
          <w:szCs w:val="20"/>
          <w:lang w:eastAsia="zh-CN"/>
        </w:rPr>
        <w:t xml:space="preserve"> </w:t>
      </w:r>
      <w:r w:rsidR="001F6E3C">
        <w:rPr>
          <w:rFonts w:eastAsia="Calibri"/>
          <w:sz w:val="20"/>
          <w:szCs w:val="20"/>
          <w:vertAlign w:val="superscript"/>
          <w:lang w:eastAsia="zh-CN"/>
        </w:rPr>
        <w:t>3</w:t>
      </w:r>
      <w:r w:rsidR="00265A2C">
        <w:rPr>
          <w:rFonts w:eastAsia="Calibri"/>
          <w:sz w:val="20"/>
          <w:szCs w:val="20"/>
          <w:lang w:eastAsia="zh-CN"/>
        </w:rPr>
        <w:t xml:space="preserve"> Técnico Administrativo da UEMS </w:t>
      </w:r>
      <w:r w:rsidR="00865629">
        <w:rPr>
          <w:rFonts w:eastAsia="Calibri"/>
          <w:sz w:val="20"/>
          <w:szCs w:val="20"/>
          <w:lang w:eastAsia="zh-CN"/>
        </w:rPr>
        <w:t>–</w:t>
      </w:r>
      <w:r w:rsidR="00265A2C">
        <w:rPr>
          <w:rFonts w:eastAsia="Calibri"/>
          <w:sz w:val="20"/>
          <w:szCs w:val="20"/>
          <w:lang w:eastAsia="zh-CN"/>
        </w:rPr>
        <w:t xml:space="preserve"> Cassilândia</w:t>
      </w:r>
      <w:r w:rsidR="00865629">
        <w:rPr>
          <w:rFonts w:eastAsia="Calibri"/>
          <w:sz w:val="20"/>
          <w:szCs w:val="20"/>
          <w:lang w:eastAsia="zh-CN"/>
        </w:rPr>
        <w:t xml:space="preserve"> e Pós-doutoranda da UEMS - Cassilândia.</w:t>
      </w:r>
    </w:p>
    <w:p w14:paraId="387ED815" w14:textId="77777777" w:rsidR="00CA0D8C" w:rsidRDefault="00CA0D8C">
      <w:pPr>
        <w:pStyle w:val="Corpodetexto"/>
        <w:jc w:val="both"/>
        <w:rPr>
          <w:sz w:val="20"/>
          <w:szCs w:val="20"/>
        </w:rPr>
      </w:pPr>
    </w:p>
    <w:p w14:paraId="2D7CA299" w14:textId="5B19BDFA" w:rsidR="00C71A50" w:rsidRPr="00FB364E" w:rsidRDefault="00D428B1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>A soja (</w:t>
      </w:r>
      <w:r>
        <w:rPr>
          <w:i/>
          <w:iCs/>
          <w:sz w:val="20"/>
          <w:szCs w:val="20"/>
          <w:lang w:eastAsia="pt-BR"/>
        </w:rPr>
        <w:t>Glycine max</w:t>
      </w:r>
      <w:r>
        <w:rPr>
          <w:sz w:val="20"/>
          <w:szCs w:val="20"/>
          <w:lang w:eastAsia="pt-BR"/>
        </w:rPr>
        <w:t xml:space="preserve">) </w:t>
      </w:r>
      <w:r w:rsidR="006E061F">
        <w:rPr>
          <w:sz w:val="20"/>
          <w:szCs w:val="20"/>
          <w:lang w:eastAsia="pt-BR"/>
        </w:rPr>
        <w:t>é considerada uma das culturas mais import</w:t>
      </w:r>
      <w:r w:rsidR="00B6388C">
        <w:rPr>
          <w:sz w:val="20"/>
          <w:szCs w:val="20"/>
          <w:lang w:eastAsia="pt-BR"/>
        </w:rPr>
        <w:t>a</w:t>
      </w:r>
      <w:r w:rsidR="006E061F">
        <w:rPr>
          <w:sz w:val="20"/>
          <w:szCs w:val="20"/>
          <w:lang w:eastAsia="pt-BR"/>
        </w:rPr>
        <w:t>ntes na produção de grãos para a alimentação humana e animal. A agricultura moderna visa aumentar a produção de grãos para acompanhar a crescente demanda da população</w:t>
      </w:r>
      <w:r w:rsidR="00D74A32">
        <w:rPr>
          <w:sz w:val="20"/>
          <w:szCs w:val="20"/>
          <w:lang w:eastAsia="pt-BR"/>
        </w:rPr>
        <w:t xml:space="preserve">, e </w:t>
      </w:r>
      <w:r w:rsidR="00E93D93">
        <w:rPr>
          <w:sz w:val="20"/>
          <w:szCs w:val="20"/>
          <w:lang w:eastAsia="pt-BR"/>
        </w:rPr>
        <w:t xml:space="preserve">diversos estudos mostraram que </w:t>
      </w:r>
      <w:r w:rsidR="00D74A32">
        <w:rPr>
          <w:sz w:val="20"/>
          <w:szCs w:val="20"/>
          <w:lang w:eastAsia="pt-BR"/>
        </w:rPr>
        <w:t xml:space="preserve">a aplicação </w:t>
      </w:r>
      <w:r w:rsidR="00E93D93">
        <w:rPr>
          <w:sz w:val="20"/>
          <w:szCs w:val="20"/>
          <w:lang w:eastAsia="pt-BR"/>
        </w:rPr>
        <w:t xml:space="preserve">exógena </w:t>
      </w:r>
      <w:r w:rsidR="00D74A32">
        <w:rPr>
          <w:sz w:val="20"/>
          <w:szCs w:val="20"/>
          <w:lang w:eastAsia="pt-BR"/>
        </w:rPr>
        <w:t xml:space="preserve">de vitaminas </w:t>
      </w:r>
      <w:r w:rsidR="00E93D93">
        <w:rPr>
          <w:sz w:val="20"/>
          <w:szCs w:val="20"/>
          <w:lang w:eastAsia="pt-BR"/>
        </w:rPr>
        <w:t>pode ser</w:t>
      </w:r>
      <w:r w:rsidR="00D74A32">
        <w:rPr>
          <w:sz w:val="20"/>
          <w:szCs w:val="20"/>
          <w:lang w:eastAsia="pt-BR"/>
        </w:rPr>
        <w:t xml:space="preserve"> uma estratégia promissora</w:t>
      </w:r>
      <w:r w:rsidR="00E93D93">
        <w:rPr>
          <w:sz w:val="20"/>
          <w:szCs w:val="20"/>
          <w:lang w:eastAsia="pt-BR"/>
        </w:rPr>
        <w:t xml:space="preserve"> para obter aumento na produção</w:t>
      </w:r>
      <w:r w:rsidR="00D74A32">
        <w:rPr>
          <w:sz w:val="20"/>
          <w:szCs w:val="20"/>
          <w:lang w:eastAsia="pt-BR"/>
        </w:rPr>
        <w:t xml:space="preserve"> ao atuarem como bio-reguladores, influenciando o crescimento vegetal</w:t>
      </w:r>
      <w:r>
        <w:rPr>
          <w:sz w:val="20"/>
          <w:szCs w:val="20"/>
          <w:lang w:eastAsia="pt-BR"/>
        </w:rPr>
        <w:t>.</w:t>
      </w:r>
      <w:r w:rsidR="00D74A32">
        <w:rPr>
          <w:sz w:val="20"/>
          <w:szCs w:val="20"/>
          <w:lang w:eastAsia="pt-BR"/>
        </w:rPr>
        <w:t xml:space="preserve"> Esse estudo teve como objetivo</w:t>
      </w:r>
      <w:r w:rsidR="00E93D93">
        <w:rPr>
          <w:sz w:val="20"/>
          <w:szCs w:val="20"/>
          <w:lang w:eastAsia="pt-BR"/>
        </w:rPr>
        <w:t xml:space="preserve"> avaliar os efeitos da aplicação exógena de piridoxina e nicotinamida sobre o desenvolvimento e produtividade da cultura da soja. O projeto foi implantado e conduzido nas dependências da Fazenda Experimental da Universidade Estadual de Mato Grosso do Sul</w:t>
      </w:r>
      <w:r w:rsidR="00B6388C">
        <w:rPr>
          <w:sz w:val="20"/>
          <w:szCs w:val="20"/>
          <w:lang w:eastAsia="pt-BR"/>
        </w:rPr>
        <w:t>. O delineamento experimental utilizado foi o de blocos ao acaso, com cinco tratamentos, controle, nicotinamida (300 mgL</w:t>
      </w:r>
      <w:r w:rsidR="00B6388C">
        <w:rPr>
          <w:sz w:val="20"/>
          <w:szCs w:val="20"/>
          <w:vertAlign w:val="superscript"/>
          <w:lang w:eastAsia="pt-BR"/>
        </w:rPr>
        <w:t>-1</w:t>
      </w:r>
      <w:r w:rsidR="00B6388C">
        <w:rPr>
          <w:sz w:val="20"/>
          <w:szCs w:val="20"/>
          <w:lang w:eastAsia="pt-BR"/>
        </w:rPr>
        <w:t>), piridoxina (300 mgL</w:t>
      </w:r>
      <w:r w:rsidR="00B6388C">
        <w:rPr>
          <w:sz w:val="20"/>
          <w:szCs w:val="20"/>
          <w:vertAlign w:val="superscript"/>
          <w:lang w:eastAsia="pt-BR"/>
        </w:rPr>
        <w:t>-1</w:t>
      </w:r>
      <w:r w:rsidR="00B6388C">
        <w:rPr>
          <w:sz w:val="20"/>
          <w:szCs w:val="20"/>
          <w:lang w:eastAsia="pt-BR"/>
        </w:rPr>
        <w:t>), nicotinamida + piridoxina (N+P (150 mgL</w:t>
      </w:r>
      <w:r w:rsidR="00B6388C">
        <w:rPr>
          <w:sz w:val="20"/>
          <w:szCs w:val="20"/>
          <w:vertAlign w:val="superscript"/>
          <w:lang w:eastAsia="pt-BR"/>
        </w:rPr>
        <w:t>-1</w:t>
      </w:r>
      <w:r w:rsidR="00B6388C">
        <w:rPr>
          <w:sz w:val="20"/>
          <w:szCs w:val="20"/>
          <w:lang w:eastAsia="pt-BR"/>
        </w:rPr>
        <w:t>)) e nicotinamida + piridoxina (N+P (300 mgL</w:t>
      </w:r>
      <w:r w:rsidR="00B6388C">
        <w:rPr>
          <w:sz w:val="20"/>
          <w:szCs w:val="20"/>
          <w:vertAlign w:val="superscript"/>
          <w:lang w:eastAsia="pt-BR"/>
        </w:rPr>
        <w:t>-1</w:t>
      </w:r>
      <w:r w:rsidR="00B6388C">
        <w:rPr>
          <w:sz w:val="20"/>
          <w:szCs w:val="20"/>
          <w:lang w:eastAsia="pt-BR"/>
        </w:rPr>
        <w:t>)), com quatro repetições. Cada parcela experimental foi composta por 5 linhas de 5 metros, com espaçamento de 0,5 m entre linhas, sendo descartadas as duas linhas laterais e 0,5 m das extremidades das linhas centrais. A aplicação dos tratamentos foi realizada de forma exógena, quando as plantas estavam em estádio R3, com a diluição da mesma feita em água com volume equivalente a 200 L ha</w:t>
      </w:r>
      <w:r w:rsidR="00B6388C">
        <w:rPr>
          <w:sz w:val="20"/>
          <w:szCs w:val="20"/>
          <w:vertAlign w:val="superscript"/>
          <w:lang w:eastAsia="pt-BR"/>
        </w:rPr>
        <w:t>-1</w:t>
      </w:r>
      <w:r w:rsidR="00B6388C">
        <w:rPr>
          <w:sz w:val="20"/>
          <w:szCs w:val="20"/>
          <w:lang w:eastAsia="pt-BR"/>
        </w:rPr>
        <w:t xml:space="preserve"> de calda. As avaliações foram realizadas na colheita da soja, com as plantas em estádio de desenvolvimento R8, sendo coletadas 10 plantas por parcela de cada tratamento. As variáveis analisadas no estudo foram: Altura de planta, diâmetro da haste,</w:t>
      </w:r>
      <w:r w:rsidR="00582F89">
        <w:rPr>
          <w:sz w:val="20"/>
          <w:szCs w:val="20"/>
          <w:lang w:eastAsia="pt-BR"/>
        </w:rPr>
        <w:t xml:space="preserve"> número de ramificações por planta, altura de inserção da primeira vagem, número de vagens por planta, número de grãos por planta, massa de grãos por planta e a produtividade estimada. Os resultados obtidos não apresentaram variância</w:t>
      </w:r>
      <w:r w:rsidR="00BA3CB4">
        <w:rPr>
          <w:sz w:val="20"/>
          <w:szCs w:val="20"/>
          <w:lang w:eastAsia="pt-BR"/>
        </w:rPr>
        <w:t xml:space="preserve"> significativa</w:t>
      </w:r>
      <w:r w:rsidR="00582F89">
        <w:rPr>
          <w:sz w:val="20"/>
          <w:szCs w:val="20"/>
          <w:lang w:eastAsia="pt-BR"/>
        </w:rPr>
        <w:t xml:space="preserve"> para o número de ramificações, altura de inserção de primeira vagem, número de vagens por planta, altura de plantas e produtividade. As variáveis de número de grãos por planta e peso dos grãos por planta </w:t>
      </w:r>
      <w:r w:rsidR="00FB364E">
        <w:rPr>
          <w:sz w:val="20"/>
          <w:szCs w:val="20"/>
          <w:lang w:eastAsia="pt-BR"/>
        </w:rPr>
        <w:t>apresentaram melhoras significativas quanto à aplicação das vitaminas, sendo que em número de grãos por planta o tratamento com aplicação isolada de piridoxina (300 mgL</w:t>
      </w:r>
      <w:r w:rsidR="00FB364E">
        <w:rPr>
          <w:sz w:val="20"/>
          <w:szCs w:val="20"/>
          <w:vertAlign w:val="superscript"/>
          <w:lang w:eastAsia="pt-BR"/>
        </w:rPr>
        <w:t>-1</w:t>
      </w:r>
      <w:r w:rsidR="00FB364E">
        <w:rPr>
          <w:sz w:val="20"/>
          <w:szCs w:val="20"/>
          <w:lang w:eastAsia="pt-BR"/>
        </w:rPr>
        <w:t>)  apresentou os melhores resultados, se diferindo dos demais tratamentos, em peso dos grãos por planta os tratamentos também diferiram, com a aplicação isolada de piridoxina (300 mgL</w:t>
      </w:r>
      <w:r w:rsidR="00FB364E">
        <w:rPr>
          <w:sz w:val="20"/>
          <w:szCs w:val="20"/>
          <w:vertAlign w:val="superscript"/>
          <w:lang w:eastAsia="pt-BR"/>
        </w:rPr>
        <w:t>-1</w:t>
      </w:r>
      <w:r w:rsidR="00FB364E">
        <w:rPr>
          <w:sz w:val="20"/>
          <w:szCs w:val="20"/>
          <w:lang w:eastAsia="pt-BR"/>
        </w:rPr>
        <w:t>) obte</w:t>
      </w:r>
      <w:r w:rsidR="00575593">
        <w:rPr>
          <w:sz w:val="20"/>
          <w:szCs w:val="20"/>
          <w:lang w:eastAsia="pt-BR"/>
        </w:rPr>
        <w:t xml:space="preserve">ndo </w:t>
      </w:r>
      <w:r w:rsidR="00FB364E">
        <w:rPr>
          <w:sz w:val="20"/>
          <w:szCs w:val="20"/>
          <w:lang w:eastAsia="pt-BR"/>
        </w:rPr>
        <w:t>o melhor resultado, seguido da aplicação de nicotinamida + piridoxina (300 mgL</w:t>
      </w:r>
      <w:r w:rsidR="00FB364E">
        <w:rPr>
          <w:sz w:val="20"/>
          <w:szCs w:val="20"/>
          <w:vertAlign w:val="superscript"/>
          <w:lang w:eastAsia="pt-BR"/>
        </w:rPr>
        <w:t>-1</w:t>
      </w:r>
      <w:r w:rsidR="00FB364E">
        <w:rPr>
          <w:sz w:val="20"/>
          <w:szCs w:val="20"/>
          <w:lang w:eastAsia="pt-BR"/>
        </w:rPr>
        <w:t>), nicotinamida (300 mgL</w:t>
      </w:r>
      <w:r w:rsidR="00FB364E">
        <w:rPr>
          <w:sz w:val="20"/>
          <w:szCs w:val="20"/>
          <w:vertAlign w:val="superscript"/>
          <w:lang w:eastAsia="pt-BR"/>
        </w:rPr>
        <w:t>-1</w:t>
      </w:r>
      <w:r w:rsidR="00FB364E">
        <w:rPr>
          <w:sz w:val="20"/>
          <w:szCs w:val="20"/>
          <w:lang w:eastAsia="pt-BR"/>
        </w:rPr>
        <w:t>), nicotinamida + piridoxina (150 mgL</w:t>
      </w:r>
      <w:r w:rsidR="00FB364E">
        <w:rPr>
          <w:sz w:val="20"/>
          <w:szCs w:val="20"/>
          <w:vertAlign w:val="superscript"/>
          <w:lang w:eastAsia="pt-BR"/>
        </w:rPr>
        <w:t>-1</w:t>
      </w:r>
      <w:r w:rsidR="00FB364E">
        <w:rPr>
          <w:sz w:val="20"/>
          <w:szCs w:val="20"/>
          <w:lang w:eastAsia="pt-BR"/>
        </w:rPr>
        <w:t>) e o controle. Concluindo que, a aplicação das vitaminas mostraram resultados positivos nas medidas de</w:t>
      </w:r>
      <w:r w:rsidR="00D11878">
        <w:rPr>
          <w:sz w:val="20"/>
          <w:szCs w:val="20"/>
          <w:lang w:eastAsia="pt-BR"/>
        </w:rPr>
        <w:t xml:space="preserve"> número de</w:t>
      </w:r>
      <w:r w:rsidR="00FB364E">
        <w:rPr>
          <w:sz w:val="20"/>
          <w:szCs w:val="20"/>
          <w:lang w:eastAsia="pt-BR"/>
        </w:rPr>
        <w:t xml:space="preserve"> grãos por planta e peso dos grãos por planta.</w:t>
      </w:r>
    </w:p>
    <w:p w14:paraId="21768999" w14:textId="10923620" w:rsidR="00C71A50" w:rsidRDefault="00AC6AE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B6F24">
        <w:rPr>
          <w:i/>
          <w:iCs/>
          <w:sz w:val="20"/>
          <w:szCs w:val="20"/>
          <w:lang w:eastAsia="pt-BR"/>
        </w:rPr>
        <w:t>Glycine max</w:t>
      </w:r>
      <w:r w:rsidR="00BB6F24">
        <w:rPr>
          <w:sz w:val="20"/>
          <w:szCs w:val="20"/>
          <w:lang w:eastAsia="pt-BR"/>
        </w:rPr>
        <w:t>, vitamina B, bioestimulante.</w:t>
      </w:r>
    </w:p>
    <w:p w14:paraId="41427D71" w14:textId="5C3F1A83" w:rsidR="00C71A50" w:rsidRDefault="00AC6AE4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D11878">
        <w:rPr>
          <w:sz w:val="20"/>
          <w:szCs w:val="20"/>
          <w:lang w:eastAsia="pt-BR"/>
        </w:rPr>
        <w:t>Ao Programa Institucional de Bolsas de Iniciação Científica PIBIC, pela concessão da bolsa de iniciação científica.</w:t>
      </w:r>
    </w:p>
    <w:p w14:paraId="2ED3223B" w14:textId="77777777" w:rsidR="00C71A50" w:rsidRDefault="00C71A50">
      <w:pPr>
        <w:jc w:val="both"/>
        <w:rPr>
          <w:sz w:val="20"/>
          <w:szCs w:val="20"/>
        </w:rPr>
      </w:pPr>
    </w:p>
    <w:p w14:paraId="74D50487" w14:textId="77777777" w:rsidR="00C71A50" w:rsidRDefault="00C71A50">
      <w:pPr>
        <w:jc w:val="both"/>
        <w:rPr>
          <w:sz w:val="20"/>
          <w:szCs w:val="20"/>
        </w:rPr>
      </w:pPr>
    </w:p>
    <w:sectPr w:rsidR="00C71A5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2A9E4" w14:textId="77777777" w:rsidR="003751C2" w:rsidRDefault="003751C2">
      <w:r>
        <w:separator/>
      </w:r>
    </w:p>
  </w:endnote>
  <w:endnote w:type="continuationSeparator" w:id="0">
    <w:p w14:paraId="03CE8A92" w14:textId="77777777" w:rsidR="003751C2" w:rsidRDefault="0037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2B3AC" w14:textId="77777777" w:rsidR="00C71A50" w:rsidRDefault="00C71A50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1A2C4" w14:textId="77777777" w:rsidR="00C71A50" w:rsidRDefault="00C71A5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1ED50" w14:textId="77777777" w:rsidR="003751C2" w:rsidRDefault="003751C2">
      <w:r>
        <w:separator/>
      </w:r>
    </w:p>
  </w:footnote>
  <w:footnote w:type="continuationSeparator" w:id="0">
    <w:p w14:paraId="5A2A13FA" w14:textId="77777777" w:rsidR="003751C2" w:rsidRDefault="0037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725BE" w14:textId="77777777" w:rsidR="00C71A50" w:rsidRDefault="00AC6AE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7867D761" wp14:editId="42BEA43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26AEB51D" wp14:editId="1766D8E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5F9CC933" wp14:editId="1CDF7FD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453864E6" wp14:editId="2997ECC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C661A" w14:textId="77777777" w:rsidR="00C71A50" w:rsidRDefault="00AC6AE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18A382E9" wp14:editId="53E1D61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19DF526E" wp14:editId="2769F52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26EF36BC" wp14:editId="4213820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0170BF3C" wp14:editId="5D650F1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50"/>
    <w:rsid w:val="000B2291"/>
    <w:rsid w:val="00114D13"/>
    <w:rsid w:val="00136213"/>
    <w:rsid w:val="001D3FA9"/>
    <w:rsid w:val="001F6E3C"/>
    <w:rsid w:val="00265A2C"/>
    <w:rsid w:val="002714C8"/>
    <w:rsid w:val="003751C2"/>
    <w:rsid w:val="00575593"/>
    <w:rsid w:val="00582F89"/>
    <w:rsid w:val="006E061F"/>
    <w:rsid w:val="00747AEE"/>
    <w:rsid w:val="00865629"/>
    <w:rsid w:val="009972AA"/>
    <w:rsid w:val="009D776D"/>
    <w:rsid w:val="009F6573"/>
    <w:rsid w:val="00AC6AE4"/>
    <w:rsid w:val="00B6388C"/>
    <w:rsid w:val="00BA3CB4"/>
    <w:rsid w:val="00BB6F24"/>
    <w:rsid w:val="00C71A50"/>
    <w:rsid w:val="00CA0D8C"/>
    <w:rsid w:val="00CC2CB9"/>
    <w:rsid w:val="00D11878"/>
    <w:rsid w:val="00D428B1"/>
    <w:rsid w:val="00D74A32"/>
    <w:rsid w:val="00DC7060"/>
    <w:rsid w:val="00E66F10"/>
    <w:rsid w:val="00E93D93"/>
    <w:rsid w:val="00EA1045"/>
    <w:rsid w:val="00EC4CCD"/>
    <w:rsid w:val="00F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8A6D9"/>
  <w15:docId w15:val="{1AF623CC-D6AB-44E3-96B3-4FDA8335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A0D8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0D8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7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meiraagro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oaotenorio016@hot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uardo.vendruscolo@uems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46C5-487F-418A-B7CF-1DFAF0C8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João Pedro</cp:lastModifiedBy>
  <cp:revision>2</cp:revision>
  <cp:lastPrinted>2023-01-31T14:18:00Z</cp:lastPrinted>
  <dcterms:created xsi:type="dcterms:W3CDTF">2024-08-02T15:35:00Z</dcterms:created>
  <dcterms:modified xsi:type="dcterms:W3CDTF">2024-08-02T15:35:00Z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