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SENSIBILIDADE DE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Trichoderma harzianum </w:t>
      </w:r>
      <w:r w:rsidDel="00000000" w:rsidR="00000000" w:rsidRPr="00000000">
        <w:rPr>
          <w:b w:val="1"/>
          <w:sz w:val="20"/>
          <w:szCs w:val="20"/>
          <w:rtl w:val="0"/>
        </w:rPr>
        <w:t xml:space="preserve">AOS INSETICIDAS METOMIL E TIAMETOXAM</w:t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Fitopatologia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PUCHETA, </w:t>
      </w:r>
      <w:r w:rsidDel="00000000" w:rsidR="00000000" w:rsidRPr="00000000">
        <w:rPr>
          <w:sz w:val="20"/>
          <w:szCs w:val="20"/>
          <w:rtl w:val="0"/>
        </w:rPr>
        <w:t xml:space="preserve">Renan Mancoelho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renanpucheta60@gmail.com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BLANCO, </w:t>
      </w:r>
      <w:r w:rsidDel="00000000" w:rsidR="00000000" w:rsidRPr="00000000">
        <w:rPr>
          <w:sz w:val="20"/>
          <w:szCs w:val="20"/>
          <w:rtl w:val="0"/>
        </w:rPr>
        <w:t xml:space="preserve">Neder Henrique Martinez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neder.blanco@uems.br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SILVA, </w:t>
      </w:r>
      <w:r w:rsidDel="00000000" w:rsidR="00000000" w:rsidRPr="00000000">
        <w:rPr>
          <w:sz w:val="20"/>
          <w:szCs w:val="20"/>
          <w:rtl w:val="0"/>
        </w:rPr>
        <w:t xml:space="preserve">Talísia de Souza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talisiasouzar@gmail.com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 </w:t>
      </w:r>
      <w:r w:rsidDel="00000000" w:rsidR="00000000" w:rsidRPr="00000000">
        <w:rPr>
          <w:b w:val="1"/>
          <w:sz w:val="20"/>
          <w:szCs w:val="20"/>
          <w:rtl w:val="0"/>
        </w:rPr>
        <w:t xml:space="preserve">COSTA, </w:t>
      </w:r>
      <w:r w:rsidDel="00000000" w:rsidR="00000000" w:rsidRPr="00000000">
        <w:rPr>
          <w:sz w:val="20"/>
          <w:szCs w:val="20"/>
          <w:rtl w:val="0"/>
        </w:rPr>
        <w:t xml:space="preserve">Brenda Fernandes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/>
        <w:drawing>
          <wp:inline distB="0" distT="0" distL="0" distR="0">
            <wp:extent cx="6350" cy="6350"/>
            <wp:effectExtent b="0" l="0" r="0" t="0"/>
            <wp:docPr id="1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brendafer842@gmail.com</w:t>
      </w:r>
      <w:r w:rsidDel="00000000" w:rsidR="00000000" w:rsidRPr="00000000">
        <w:rPr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sz w:val="20"/>
          <w:szCs w:val="20"/>
          <w:rtl w:val="0"/>
        </w:rPr>
        <w:t xml:space="preserve"> GRAICHEN, </w:t>
      </w:r>
      <w:r w:rsidDel="00000000" w:rsidR="00000000" w:rsidRPr="00000000">
        <w:rPr>
          <w:sz w:val="20"/>
          <w:szCs w:val="20"/>
          <w:rtl w:val="0"/>
        </w:rPr>
        <w:t xml:space="preserve">Felipe André Sganzerla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(</w:t>
      </w:r>
      <w:hyperlink r:id="rId1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felipeandre@uems.br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5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Agronomia, Unidade Universitária de Aquidauana/ Integrante do Grupo PET-Agro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Agronomia, Unidade Universitária de Aquidauana;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Programa de Pós-Graduação em Agronomia;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Programa de Pós-Graduação em Agronomia;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Agronomia, Unidade Universitária de Aquidauana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prática de mistura de defensivos em  tanques se amplificou em todas as regiões e no mundo. Muitos desses produtos possuem em sua composição microrganismos antagonistas utilizados no controle biológico de doenças e/ou como biopromotores que  auxiliam as plantas contra estresses. Estes agentes de biocontrole são organismos vivos e pode haver incompatibilidade entre os produtos por serem sensíveis aos ingredientes ativos, o que pode reduzir sua viabilidade. Diante disso, o objetivo desse trabalho foi avaliar o efeito de diferentes doses de inseticidas sobre a viabilidade dos conídios e do crescimento micelial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Trichoderma harzianum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Os experimentos foram realizados na Universidade Estadual de Mato Grosso do Sul, Unidade Universitária de Aquidauana. Para avaliar a sensibilidade foi determinada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(dose de inibição de 50% de germinação ou de crescimento)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Trichoderma harzianum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(Produto comercial Trichodermil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avaliando-se a germinação de conídios sob diferentes doses de Metomil (Metomil 215 SL Nortox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e tiametoxam (Platinum Neo/Lagare 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Foram utilizadas 6 doses (10³, 10², 10¹, 10⁰,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¹ e 0 mg.L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Cada dose foi composta por 4 repetições, que consistiam em placas de Petri contendo meio de cultura ágar-água (3 %), nas quais foram depositados os conídios. Em cada placa, avaliou-se a viabilidade de 500 conídios, sendo 5 campos diferentes com 100 conídios em cada. Ao todo, foram avaliados 2000 esporos em cada dose testada. Logo em seguida foram realizados a avaliação do crescimento micelial dos produtos comerciais, a consulta das bulas dos produtos teve fins para calculos e adaptações do experimento. O Trichodermil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também foi diluído, a sua concentração comercial é de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conídios 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reduziu-se a concentração para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conídios 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 em seguida realizou-se o corte de 2 mm e inoculou os fragmentos no centro das placas que estavam vertidas com as doses correspondente. As placas foram incubadas durante 3 a 4 dias na temperatura de 25 ± 2 ºC para avaliar o crescimento, para realizar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foi determinada pela  interpolação linear, após a determinação da regressão linear entre a redução da germinação dos conídios e as concentrações dos inseticidas. A redução da geminação dos conídios com as doses de metomil apresentou ajuste linear Y =0,1697x + 0,3071x (R² = 0,9917), para este inseticida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calculada foi de 13,70 mg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micelial apresentou um ajuste de Y=0,1076x + 0,2072 x (R²= 0,9602), sendo assim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526,25 mg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Para tiametoxam a redução foi Y =0,1617x +0,5311 x (R² = 0,9939), para este inseticida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calculada foi de 0,64 mg.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 micelial apresentou ajuste de Y= 0,1603x + 0,164 x (R²= 0,8143), sendo a 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micelial de 124,76 mg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 dados sugerem que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Trichoderma harzianum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 bastante sensível aos dois inseticidas testados e que a mistura de tanque com estes produtos não pode ser recomendada para o produtor.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necessário dar continuidade aos estudos para viabilizar as misturas de tanque entre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Trichoderma harzianum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inseticidas, buscando produtos compatíveis ou técnicas que ampliem a compatibilidade.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Tecnologia de aplicação, Inseticidas, controle biológico.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 UEMS para conceção da bolsa de Iniciação Científica.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>
    <w:name w:val="Link da Internet"/>
    <w:basedOn w:val="DefaultParagraphFont"/>
    <w:uiPriority w:val="99"/>
    <w:unhideWhenUsed w:val="1"/>
    <w:rsid w:val="0092740E"/>
    <w:rPr>
      <w:color w:val="0000ff" w:themeColor="hyperlink"/>
      <w:u w:val="single"/>
    </w:rPr>
  </w:style>
  <w:style w:type="character" w:styleId="Cf01" w:customStyle="1">
    <w:name w:val="cf01"/>
    <w:basedOn w:val="DefaultParagraphFont"/>
    <w:qFormat w:val="1"/>
    <w:rsid w:val="0092740E"/>
    <w:rPr>
      <w:rFonts w:ascii="Segoe UI" w:cs="Segoe UI" w:hAnsi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AC311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 w:val="1"/>
    <w:rsid w:val="00AC3115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 w:val="1"/>
    <w:qFormat w:val="1"/>
    <w:rsid w:val="00AC3115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Legendadatabela2" w:customStyle="1">
    <w:name w:val="Legenda da tabela (2)"/>
    <w:basedOn w:val="Normal"/>
    <w:qFormat w:val="1"/>
    <w:rsid w:val="0092740E"/>
    <w:pPr>
      <w:shd w:color="auto" w:fill="ffffff" w:val="clear"/>
      <w:spacing w:after="120" w:before="0" w:line="240" w:lineRule="atLeast"/>
      <w:jc w:val="both"/>
    </w:pPr>
    <w:rPr>
      <w:rFonts w:ascii="Arial" w:cs="Arial" w:hAnsi="Arial"/>
      <w:b w:val="1"/>
      <w:bCs w:val="1"/>
      <w:color w:val="000000"/>
      <w:sz w:val="23"/>
      <w:szCs w:val="23"/>
      <w:lang w:eastAsia="zh-CN"/>
    </w:rPr>
  </w:style>
  <w:style w:type="paragraph" w:styleId="Revision">
    <w:name w:val="Revision"/>
    <w:uiPriority w:val="99"/>
    <w:semiHidden w:val="1"/>
    <w:qFormat w:val="1"/>
    <w:rsid w:val="0050116C"/>
    <w:pPr>
      <w:widowControl w:val="1"/>
      <w:suppressAutoHyphens w:val="0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Annotationtext">
    <w:name w:val="annotation text"/>
    <w:basedOn w:val="Normal"/>
    <w:link w:val="TextodecomentrioChar"/>
    <w:uiPriority w:val="99"/>
    <w:unhideWhenUsed w:val="1"/>
    <w:qFormat w:val="1"/>
    <w:rsid w:val="00AC31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AC3115"/>
    <w:pPr/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felipeandre@uems.br" TargetMode="External"/><Relationship Id="rId10" Type="http://schemas.openxmlformats.org/officeDocument/2006/relationships/image" Target="media/image1.gif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alisiasouzar@gmail.com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nanpucheta60@gmail.com" TargetMode="External"/><Relationship Id="rId8" Type="http://schemas.openxmlformats.org/officeDocument/2006/relationships/hyperlink" Target="mailto:neder.blanco@uems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uED1Klu9oQgyfIm8M99/RAhVw==">CgMxLjAyCGguZ2pkZ3hzOABqSwo1c3VnZ2VzdElkSW1wb3J0ODI2MDJmNzctNTU5YS00MGQ2LTk5ZjQtZjcyMjE3YTUxZDI1XzISEkF1dG9yIGRlc2NvbmhlY2lkb3IhMVBQWVJuRW9BaVY1U0ZzZ3NLVDZoR1F5anRweGxFczFN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2024-08-09T15:28:00Z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GrammarlyDocumentId">
    <vt:lpwstr>c3029e7d2c0da3b9e414b48996f76aa6a028b9f65eef5bb422cccbdcaa167466</vt:lpwstr>
  </property>
  <property fmtid="{D5CDD505-2E9C-101B-9397-08002B2CF9AE}" pid="5" name="LastSaved">
    <vt:filetime>2021-08-12T00:00:00Z</vt:filetime>
  </property>
</Properties>
</file>