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283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SUBSTRATOS A BASE DE TABACO E RESÍDUO INDUSTRIAL PARA PRODUÇÃO DE MUDAS DE PIMENTA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3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Instituição: </w:t>
      </w:r>
      <w:r w:rsidDel="00000000" w:rsidR="00000000" w:rsidRPr="00000000">
        <w:rPr>
          <w:sz w:val="20"/>
          <w:szCs w:val="20"/>
          <w:rtl w:val="0"/>
        </w:rPr>
        <w:t xml:space="preserve">Universidade Estadual de Mato Grosso do Sul - UEMS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3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Área temática: </w:t>
      </w:r>
      <w:r w:rsidDel="00000000" w:rsidR="00000000" w:rsidRPr="00000000">
        <w:rPr>
          <w:sz w:val="20"/>
          <w:szCs w:val="20"/>
          <w:rtl w:val="0"/>
        </w:rPr>
        <w:t xml:space="preserve">Pesquisa - Ciências Agrárias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SANTOS, </w:t>
      </w:r>
      <w:r w:rsidDel="00000000" w:rsidR="00000000" w:rsidRPr="00000000">
        <w:rPr>
          <w:sz w:val="20"/>
          <w:szCs w:val="20"/>
          <w:rtl w:val="0"/>
        </w:rPr>
        <w:t xml:space="preserve">Benjamin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Abel dos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benjaminabeljp@gmail.com)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BARBOSA,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Bruno Rafael Simbre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brunosimbre@gmail.com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LOVERA,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Carlos Alberto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lovera48@msn.com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OLIVEIRA,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João Paulo Zaluchi Souza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oliveira-john@hotmail.com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BONFIM,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Willian Gabriel Alves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williangabrielalvesbonfim@gmail.com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ZOZ,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Tiago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zoz@uems.br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Discente do Curso de Agronomia – UEMS/Mundo Novo;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Discente do Curso de Agronomia – UEMS/Mundo Novo;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Discente do Curso Superior de Tecnologia em Gestão Ambiental – UEMS/Mundo Novo;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Discente do Curso de Agronomia – UEMS/Mundo Novo;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Discente do Curso de Agronomia – UEMS/Mundo Novo;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Docente dos Cursos de Agronomia e Tecnologia em Gestão Ambiental – UEMS/Mundo Novo.</w:t>
      </w:r>
    </w:p>
    <w:p w:rsidR="00000000" w:rsidDel="00000000" w:rsidP="00000000" w:rsidRDefault="00000000" w:rsidRPr="00000000" w14:paraId="0000000B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incorporação de resíduos provenientes de atividades agrícolas e industriais pode oferecer uma solução vantajosa para a produção de substratos econômicos, além de contribuir para a gestão adequada desses materiais e a redução do impacto ambiental. No entanto, é essencial realizar pesquisas para definir a melhor maneira de utilizá-los e a quantidade ideal para otimizar os resultados. Nesse contexto, este estudo teve como objetivo avaliar o uso de tabaco e resíduo industrial na produção de substrato para produção de mudas de pimenta (</w:t>
      </w:r>
      <w:r w:rsidDel="00000000" w:rsidR="00000000" w:rsidRPr="00000000">
        <w:rPr>
          <w:i w:val="1"/>
          <w:sz w:val="20"/>
          <w:szCs w:val="20"/>
          <w:rtl w:val="0"/>
        </w:rPr>
        <w:t xml:space="preserve">Capsicum baccatum</w:t>
      </w:r>
      <w:r w:rsidDel="00000000" w:rsidR="00000000" w:rsidRPr="00000000">
        <w:rPr>
          <w:sz w:val="20"/>
          <w:szCs w:val="20"/>
          <w:rtl w:val="0"/>
        </w:rPr>
        <w:t xml:space="preserve">). Utilizou-se o delineamento experimental de blocos casualizados com dez tratamentos e três repetições. Os tratamentos foram constituídos por 10 substratos compostos por diferentes proporções de tabaco proveniente da destruição de cigarros apreendidos como contrabando, resíduo proveniente de uma indústria que realiza o processamento de sangue e ovos e dejeto de ovinos. As proporções dos componentes empregados na produção dos substratos avaliados neste estudo não é apresentada pois os autores visam patentear os substratos mais promissores. Os resíduos, seguindo as diferentes proporções estabelecidas em base seca para cada substrato, foram misturados e acondicionados em caixas de plástico com volume de 60 dm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sz w:val="20"/>
          <w:szCs w:val="20"/>
          <w:rtl w:val="0"/>
        </w:rPr>
        <w:t xml:space="preserve"> para que ocorresse o processo de compostagem. Após o processo de compostagem, os substratos foram colocados em bandejas de plástico com 15 células (unidade experimental); cada célula com volume útil de 164 cm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sz w:val="20"/>
          <w:szCs w:val="20"/>
          <w:rtl w:val="0"/>
        </w:rPr>
        <w:t xml:space="preserve">. Após colocar o substrato nas bandejas, procedeu-se a semeadura da pimenta dado de moça. Não foi adicionado fertilizante aos substratos. Depois de semear a pimenta, foi realizada uma contagem diária das plântulas emergidas em cada bandeja para determinar a emergência acumulada até o décimo quinto dia após a semeadura. Aos 30 dias após a semeadura, foi feita a contagem das plantas vivas em cada bandeja para calcular a porcentagem de sobrevivência das mudas. Foram também medidas a altura das plantas e contadas o número de folhas por planta. Os dados de porcentagem de sobrevivência, altura das plantas e número de folhas foram transformados usando a raiz de X+0,5 e submetidos à análise de variância, com a significância dos quadrados médios testada pelo teste F (p&lt;0,05). As médias referentes aos substratos foram agrupadas pelo teste de Scott-Knott (p&lt;0,05). Os resultados obtidos indicaram que as diferentes composições dos substratos influenciam a emergência e o crescimento inicial das mudas de pimenta. O início da emergência das plântulas de pimenta ocorreu aos 10 dias após a semeadura, sendo verificada emergência de plântulas apenas em dois substratos nesta data. As diferenças encontradas entre os substratos quanto a emergência e crescimento inicial das mudas de pimenta se devem principalmente às características físicas do substrato, uma vez que na fase de emergência e crescimento inicial das mudas, a densidade e a capacidade de retenção de umidade do substrato são cruciais para proporcionar o adequado fornecimento de água e aeração para o crescimento das mudas. O substrato 9, que contém a maior proporção de dejeto ovino e a menor proporção de resíduo industrial (lodo), foi o que mais favoreceu a emergência e o crescimento inicial das mudas de pimenta.</w:t>
      </w:r>
    </w:p>
    <w:p w:rsidR="00000000" w:rsidDel="00000000" w:rsidP="00000000" w:rsidRDefault="00000000" w:rsidRPr="00000000" w14:paraId="0000000C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sz w:val="20"/>
          <w:szCs w:val="20"/>
          <w:rtl w:val="0"/>
        </w:rPr>
        <w:t xml:space="preserve">Capsicum baccatum</w:t>
      </w:r>
      <w:r w:rsidDel="00000000" w:rsidR="00000000" w:rsidRPr="00000000">
        <w:rPr>
          <w:sz w:val="20"/>
          <w:szCs w:val="20"/>
          <w:rtl w:val="0"/>
        </w:rPr>
        <w:t xml:space="preserve">, Emergência, Crescimento inicial.</w:t>
      </w:r>
    </w:p>
    <w:p w:rsidR="00000000" w:rsidDel="00000000" w:rsidP="00000000" w:rsidRDefault="00000000" w:rsidRPr="00000000" w14:paraId="0000000D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sz w:val="20"/>
          <w:szCs w:val="20"/>
          <w:rtl w:val="0"/>
        </w:rPr>
        <w:t xml:space="preserve"> Ao Conselho Nacional de Desenvolvimento Científico e Tecnológico (CNPq) pela concessão da bolsa de Iniciação Científica (PIBIC-AAF) ao primeiro autor.</w:t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headerReference r:id="rId14" w:type="even"/>
      <w:footerReference r:id="rId15" w:type="default"/>
      <w:footerReference r:id="rId16" w:type="first"/>
      <w:footerReference r:id="rId17" w:type="even"/>
      <w:pgSz w:h="16838" w:w="11906" w:orient="portrait"/>
      <w:pgMar w:bottom="1133" w:top="1700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636</wp:posOffset>
          </wp:positionH>
          <wp:positionV relativeFrom="paragraph">
            <wp:posOffset>9782810</wp:posOffset>
          </wp:positionV>
          <wp:extent cx="1605915" cy="453390"/>
          <wp:effectExtent b="0" l="0" r="0" t="0"/>
          <wp:wrapSquare wrapText="bothSides" distB="0" distT="0" distL="114300" distR="11430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b="0" l="0" r="0" t="0"/>
          <wp:wrapSquare wrapText="bothSides" distB="0" distT="0" distL="0" distR="0"/>
          <wp:docPr id="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b="0" l="0" r="0" t="0"/>
          <wp:wrapSquare wrapText="bothSides" distB="0" distT="0" distL="0" distR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b="0" l="0" r="0" t="0"/>
          <wp:wrapSquare wrapText="bothSides" distB="0" distT="0" distL="0" distR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21240" l="7824" r="6113" t="19717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636</wp:posOffset>
          </wp:positionH>
          <wp:positionV relativeFrom="paragraph">
            <wp:posOffset>9782810</wp:posOffset>
          </wp:positionV>
          <wp:extent cx="1605915" cy="453390"/>
          <wp:effectExtent b="0" l="0" r="0" t="0"/>
          <wp:wrapSquare wrapText="bothSides" distB="0" distT="0" distL="114300" distR="11430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b="0" l="0" r="0" t="0"/>
          <wp:wrapSquare wrapText="bothSides" distB="0" distT="0" distL="0" distR="0"/>
          <wp:docPr id="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b="0" l="0" r="0" t="0"/>
          <wp:wrapSquare wrapText="bothSides" distB="0" distT="0" distL="0" distR="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b="0" l="0" r="0" t="0"/>
          <wp:wrapSquare wrapText="bothSides" distB="0" distT="0" distL="0" distR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21240" l="7824" r="6113" t="19717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34" w:lineRule="auto"/>
      <w:ind w:left="102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9" w:lineRule="auto"/>
      <w:ind w:left="411" w:right="429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zoz@uems.br" TargetMode="External"/><Relationship Id="rId10" Type="http://schemas.openxmlformats.org/officeDocument/2006/relationships/hyperlink" Target="mailto:williangabrielalvesbonfim@gmail.com" TargetMode="External"/><Relationship Id="rId13" Type="http://schemas.openxmlformats.org/officeDocument/2006/relationships/header" Target="head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oliveira-john@hotmail.com" TargetMode="External"/><Relationship Id="rId15" Type="http://schemas.openxmlformats.org/officeDocument/2006/relationships/footer" Target="footer2.xml"/><Relationship Id="rId14" Type="http://schemas.openxmlformats.org/officeDocument/2006/relationships/header" Target="header1.xml"/><Relationship Id="rId17" Type="http://schemas.openxmlformats.org/officeDocument/2006/relationships/footer" Target="footer1.xm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hyperlink" Target="mailto:brunosimbre@gmail.com" TargetMode="External"/><Relationship Id="rId8" Type="http://schemas.openxmlformats.org/officeDocument/2006/relationships/hyperlink" Target="mailto:lovera48@msn.com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2021-07-14T00:00:00Z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2021-08-12T00:00:00Z</vt:lpwstr>
  </property>
</Properties>
</file>