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both"/>
        <w:rPr>
          <w:b w:val="1"/>
          <w:sz w:val="20"/>
          <w:szCs w:val="20"/>
        </w:rPr>
      </w:pPr>
      <w:r w:rsidDel="00000000" w:rsidR="00000000" w:rsidRPr="00000000">
        <w:rPr>
          <w:b w:val="1"/>
          <w:sz w:val="20"/>
          <w:szCs w:val="20"/>
          <w:rtl w:val="0"/>
        </w:rPr>
        <w:t xml:space="preserve">PIADA OU OFENSA? AS INDENIZAÇÕES POR DANO MORAL E OS LIMITES DA LIBERDADE DO HUMOR PROFISSIONAL NA INTERNET</w:t>
      </w:r>
      <w:r w:rsidDel="00000000" w:rsidR="00000000" w:rsidRPr="00000000">
        <w:rPr>
          <w:rtl w:val="0"/>
        </w:rPr>
      </w:r>
    </w:p>
    <w:p w:rsidR="00000000" w:rsidDel="00000000" w:rsidP="00000000" w:rsidRDefault="00000000" w:rsidRPr="00000000" w14:paraId="00000002">
      <w:pPr>
        <w:spacing w:after="283" w:lineRule="auto"/>
        <w:rPr>
          <w:b w:val="1"/>
          <w:sz w:val="20"/>
          <w:szCs w:val="20"/>
        </w:rPr>
      </w:pP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do Mato Grosso do Sul</w:t>
      </w:r>
      <w:r w:rsidDel="00000000" w:rsidR="00000000" w:rsidRPr="00000000">
        <w:rPr>
          <w:rtl w:val="0"/>
        </w:rPr>
      </w:r>
    </w:p>
    <w:p w:rsidR="00000000" w:rsidDel="00000000" w:rsidP="00000000" w:rsidRDefault="00000000" w:rsidRPr="00000000" w14:paraId="00000004">
      <w:pPr>
        <w:spacing w:after="283" w:lineRule="auto"/>
        <w:jc w:val="both"/>
        <w:rPr/>
      </w:pPr>
      <w:r w:rsidDel="00000000" w:rsidR="00000000" w:rsidRPr="00000000">
        <w:rPr>
          <w:b w:val="1"/>
          <w:sz w:val="20"/>
          <w:szCs w:val="20"/>
          <w:rtl w:val="0"/>
        </w:rPr>
        <w:t xml:space="preserve">Área temática: </w:t>
      </w:r>
      <w:r w:rsidDel="00000000" w:rsidR="00000000" w:rsidRPr="00000000">
        <w:rPr>
          <w:sz w:val="20"/>
          <w:szCs w:val="20"/>
          <w:rtl w:val="0"/>
        </w:rPr>
        <w:t xml:space="preserve">Ciências sociais aplicadas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83" w:lineRule="auto"/>
        <w:jc w:val="both"/>
        <w:rPr>
          <w:color w:val="000000"/>
          <w:sz w:val="24"/>
          <w:szCs w:val="24"/>
        </w:rPr>
      </w:pPr>
      <w:r w:rsidDel="00000000" w:rsidR="00000000" w:rsidRPr="00000000">
        <w:rPr>
          <w:b w:val="1"/>
          <w:sz w:val="20"/>
          <w:szCs w:val="20"/>
          <w:rtl w:val="0"/>
        </w:rPr>
        <w:t xml:space="preserve">BARBOSA</w:t>
      </w:r>
      <w:r w:rsidDel="00000000" w:rsidR="00000000" w:rsidRPr="00000000">
        <w:rPr>
          <w:b w:val="1"/>
          <w:color w:val="000000"/>
          <w:sz w:val="20"/>
          <w:szCs w:val="20"/>
          <w:rtl w:val="0"/>
        </w:rPr>
        <w:t xml:space="preserve">, </w:t>
      </w:r>
      <w:r w:rsidDel="00000000" w:rsidR="00000000" w:rsidRPr="00000000">
        <w:rPr>
          <w:sz w:val="20"/>
          <w:szCs w:val="20"/>
          <w:rtl w:val="0"/>
        </w:rPr>
        <w:t xml:space="preserve">Henrique Vansso (07008498152@academicos.uems.br)</w:t>
      </w: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 </w:t>
      </w:r>
      <w:r w:rsidDel="00000000" w:rsidR="00000000" w:rsidRPr="00000000">
        <w:rPr>
          <w:b w:val="1"/>
          <w:sz w:val="20"/>
          <w:szCs w:val="20"/>
          <w:rtl w:val="0"/>
        </w:rPr>
        <w:t xml:space="preserve">CORTE</w:t>
      </w:r>
      <w:r w:rsidDel="00000000" w:rsidR="00000000" w:rsidRPr="00000000">
        <w:rPr>
          <w:b w:val="1"/>
          <w:color w:val="000000"/>
          <w:sz w:val="20"/>
          <w:szCs w:val="20"/>
          <w:rtl w:val="0"/>
        </w:rPr>
        <w:t xml:space="preserve">, </w:t>
      </w:r>
      <w:r w:rsidDel="00000000" w:rsidR="00000000" w:rsidRPr="00000000">
        <w:rPr>
          <w:sz w:val="20"/>
          <w:szCs w:val="20"/>
          <w:rtl w:val="0"/>
        </w:rPr>
        <w:t xml:space="preserve">Thaís</w:t>
      </w:r>
      <w:r w:rsidDel="00000000" w:rsidR="00000000" w:rsidRPr="00000000">
        <w:rPr>
          <w:color w:val="000000"/>
          <w:sz w:val="20"/>
          <w:szCs w:val="20"/>
          <w:rtl w:val="0"/>
        </w:rPr>
        <w:t xml:space="preserve"> Dalla </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(thais.corte@uems.br)</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 – A</w:t>
      </w:r>
      <w:r w:rsidDel="00000000" w:rsidR="00000000" w:rsidRPr="00000000">
        <w:rPr>
          <w:sz w:val="20"/>
          <w:szCs w:val="20"/>
          <w:rtl w:val="0"/>
        </w:rPr>
        <w:t xml:space="preserve">luno da terceira série do Curso de Direito da UEMS da unidade de Naviraí e bolsista PIBIC/Fundect;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 Professora Adjunta do Curso de Direito da UEMS da unidade de Naviraí. </w:t>
      </w:r>
    </w:p>
    <w:p w:rsidR="00000000" w:rsidDel="00000000" w:rsidP="00000000" w:rsidRDefault="00000000" w:rsidRPr="00000000" w14:paraId="00000008">
      <w:pPr>
        <w:spacing w:after="283" w:lineRule="auto"/>
        <w:jc w:val="both"/>
        <w:rPr>
          <w:color w:val="000000"/>
          <w:sz w:val="20"/>
          <w:szCs w:val="20"/>
          <w:vertAlign w:val="superscript"/>
        </w:rPr>
      </w:pPr>
      <w:r w:rsidDel="00000000" w:rsidR="00000000" w:rsidRPr="00000000">
        <w:rPr>
          <w:rtl w:val="0"/>
        </w:rPr>
      </w:r>
    </w:p>
    <w:p w:rsidR="00000000" w:rsidDel="00000000" w:rsidP="00000000" w:rsidRDefault="00000000" w:rsidRPr="00000000" w14:paraId="00000009">
      <w:pPr>
        <w:spacing w:after="283" w:lineRule="auto"/>
        <w:jc w:val="both"/>
        <w:rPr>
          <w:sz w:val="20"/>
          <w:szCs w:val="20"/>
        </w:rPr>
      </w:pPr>
      <w:r w:rsidDel="00000000" w:rsidR="00000000" w:rsidRPr="00000000">
        <w:rPr>
          <w:sz w:val="20"/>
          <w:szCs w:val="20"/>
          <w:rtl w:val="0"/>
        </w:rPr>
        <w:t xml:space="preserve">Em 1985, surgiu, no Brasil, com o fim da Ditadura Militar, a necessidade de instituição de um Estado Democrático de Direito no qual se respeitasse as esferas de liberdade individual das pessoas, em contramão ao experimentado no país durante séculos de repressão. Nesse contexto, ganhou grande enfoque a liberdade de expressão como garantia fundamental e a vedação da censura prévia, os quais foram expressamente incluídos na nova Carta Magna - a Constituição Federal de 1988. Todavia, uma discussão que põe em xeque a proteção à liberdade de expressão é a questão dos limites do humor profissional, principalmente na internet, visto que 70% das indenizações por danos morais contra manifestações humorísticas veiculadas na internet são determinadas procedentes. Nesse contexto, surgiu a questão: como o dano moral pode ameaçar a liberdade do exercício do humor profissional na internet? O objetivo geral desta pesquisa foi analisar os impactos das ações de dano moral sobre a liberdade de expressão no humor digital. Para atingir esse objetivo, foram definidos os seguintes objetivos específicos: investigar o humor profissional como uma forma de manifestação da liberdade, avaliar o dano moral enquanto possível instrumento de censura e examinar os limites atuais do humor profissional conforme estabelecido por decisões judiciais. Como resultados, observou-se que: 1) o humor é uma categoria da liberdade de expressão reconhecida pela jurisprudência brasileira, mas que a afirmação de que a responsabilidade civil é uma forma de censura vai de contramão com o próprio significado de censura e com as disposições da Constituição brasileira; 2) os julgados de ações cíveis por dano moral oriundo do exercício da liberdade do humor são resolvidos a partir da ponderação, com emprego da análise dos parâmetros da veracidade da manifestação humorística, do alvo do humor (se é pessoa pública ou pessoa comum), do interesse público e da intenção do humorista (se há </w:t>
      </w:r>
      <w:r w:rsidDel="00000000" w:rsidR="00000000" w:rsidRPr="00000000">
        <w:rPr>
          <w:i w:val="1"/>
          <w:sz w:val="20"/>
          <w:szCs w:val="20"/>
          <w:rtl w:val="0"/>
        </w:rPr>
        <w:t xml:space="preserve">animus jocandi</w:t>
      </w:r>
      <w:r w:rsidDel="00000000" w:rsidR="00000000" w:rsidRPr="00000000">
        <w:rPr>
          <w:sz w:val="20"/>
          <w:szCs w:val="20"/>
          <w:rtl w:val="0"/>
        </w:rPr>
        <w:t xml:space="preserve"> ou intenção de ofender); 3) o senso de moralidade do julgador influencia em muitos dos julgados. Por fim, concluiu-se que as indenizações por dano moral ameaçam a liberdade para se fazer humor de uma forma geral (não só na internet) porque a ausência de um entendimento jurisprudencial unificador faz com que cada julgador aplique os parâmetros de ponderação de acordo com próprio entendimento, inclusive, com influência da própria moralidade deste na resolução do mérito da questão, criando insegurança jurídica, o que não se restringe aos casos em que a manifestação humorística é veiculada na internet.</w:t>
      </w:r>
    </w:p>
    <w:p w:rsidR="00000000" w:rsidDel="00000000" w:rsidP="00000000" w:rsidRDefault="00000000" w:rsidRPr="00000000" w14:paraId="0000000A">
      <w:pPr>
        <w:spacing w:after="283" w:lineRule="auto"/>
        <w:jc w:val="both"/>
        <w:rPr>
          <w:sz w:val="20"/>
          <w:szCs w:val="20"/>
        </w:rPr>
      </w:pPr>
      <w:r w:rsidDel="00000000" w:rsidR="00000000" w:rsidRPr="00000000">
        <w:rPr>
          <w:rtl w:val="0"/>
        </w:rPr>
      </w:r>
    </w:p>
    <w:p w:rsidR="00000000" w:rsidDel="00000000" w:rsidP="00000000" w:rsidRDefault="00000000" w:rsidRPr="00000000" w14:paraId="0000000B">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Limites do Humor, Dano Moral, Internet.</w:t>
      </w:r>
    </w:p>
    <w:p w:rsidR="00000000" w:rsidDel="00000000" w:rsidP="00000000" w:rsidRDefault="00000000" w:rsidRPr="00000000" w14:paraId="0000000C">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Agradeço à minha orientadora, à UEMS e à FUNDECT pelo apoio recebido.</w:t>
      </w:r>
    </w:p>
    <w:p w:rsidR="00000000" w:rsidDel="00000000" w:rsidP="00000000" w:rsidRDefault="00000000" w:rsidRPr="00000000" w14:paraId="0000000D">
      <w:pPr>
        <w:jc w:val="both"/>
        <w:rPr>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638</wp:posOffset>
          </wp:positionH>
          <wp:positionV relativeFrom="paragraph">
            <wp:posOffset>9782810</wp:posOffset>
          </wp:positionV>
          <wp:extent cx="1605915" cy="453390"/>
          <wp:effectExtent b="0" l="0" r="0" t="0"/>
          <wp:wrapSquare wrapText="bothSides" distB="0" distT="0" distL="114300" distR="114300"/>
          <wp:docPr id="1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2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-539113</wp:posOffset>
          </wp:positionH>
          <wp:positionV relativeFrom="paragraph">
            <wp:posOffset>-8252</wp:posOffset>
          </wp:positionV>
          <wp:extent cx="7185660" cy="899160"/>
          <wp:effectExtent b="0" l="0" r="0" t="0"/>
          <wp:wrapSquare wrapText="bothSides" distB="0" distT="0" distL="0" distR="0"/>
          <wp:docPr id="2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22" name="image1.png"/>
          <a:graphic>
            <a:graphicData uri="http://schemas.openxmlformats.org/drawingml/2006/picture">
              <pic:pic>
                <pic:nvPicPr>
                  <pic:cNvPr id="0" name="image1.png"/>
                  <pic:cNvPicPr preferRelativeResize="0"/>
                </pic:nvPicPr>
                <pic:blipFill>
                  <a:blip r:embed="rId4"/>
                  <a:srcRect b="21240" l="7824" r="6112"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638</wp:posOffset>
          </wp:positionH>
          <wp:positionV relativeFrom="paragraph">
            <wp:posOffset>9782810</wp:posOffset>
          </wp:positionV>
          <wp:extent cx="1605915" cy="453390"/>
          <wp:effectExtent b="0" l="0" r="0" t="0"/>
          <wp:wrapSquare wrapText="bothSides" distB="0" distT="0" distL="114300" distR="114300"/>
          <wp:docPr id="2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-539113</wp:posOffset>
          </wp:positionH>
          <wp:positionV relativeFrom="paragraph">
            <wp:posOffset>-8252</wp:posOffset>
          </wp:positionV>
          <wp:extent cx="7185660" cy="899160"/>
          <wp:effectExtent b="0" l="0" r="0" t="0"/>
          <wp:wrapSquare wrapText="bothSides" distB="0" distT="0" distL="0" distR="0"/>
          <wp:docPr id="18"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23" name="image1.png"/>
          <a:graphic>
            <a:graphicData uri="http://schemas.openxmlformats.org/drawingml/2006/picture">
              <pic:pic>
                <pic:nvPicPr>
                  <pic:cNvPr id="0" name="image1.png"/>
                  <pic:cNvPicPr preferRelativeResize="0"/>
                </pic:nvPicPr>
                <pic:blipFill>
                  <a:blip r:embed="rId4"/>
                  <a:srcRect b="21240" l="7824" r="6112"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qFormat w:val="1"/>
    <w:pPr>
      <w:suppressAutoHyphens w:val="1"/>
    </w:pPr>
    <w:rPr>
      <w:lang w:eastAsia="en-US"/>
    </w:rPr>
  </w:style>
  <w:style w:type="paragraph" w:styleId="Ttulo1">
    <w:name w:val="heading 1"/>
    <w:basedOn w:val="Normal"/>
    <w:uiPriority w:val="9"/>
    <w:qFormat w:val="1"/>
    <w:pPr>
      <w:spacing w:before="134"/>
      <w:ind w:left="102"/>
      <w:outlineLvl w:val="0"/>
    </w:pPr>
    <w:rPr>
      <w:b w:val="1"/>
      <w:bCs w:val="1"/>
      <w:sz w:val="24"/>
      <w:szCs w:val="24"/>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Corpodetexto"/>
    <w:uiPriority w:val="10"/>
    <w:qFormat w:val="1"/>
    <w:pPr>
      <w:spacing w:before="19"/>
      <w:ind w:left="411" w:right="429"/>
      <w:jc w:val="center"/>
    </w:pPr>
    <w:rPr>
      <w:rFonts w:ascii="Calibri" w:cs="Calibri" w:eastAsia="Calibri" w:hAnsi="Calibri"/>
      <w:b w:val="1"/>
      <w:bCs w:val="1"/>
      <w:sz w:val="28"/>
      <w:szCs w:val="28"/>
    </w:rPr>
  </w:style>
  <w:style w:type="character" w:styleId="TextodebaloChar" w:customStyle="1">
    <w:name w:val="Texto de balão Char"/>
    <w:basedOn w:val="Fontepargpadro"/>
    <w:link w:val="Textodebalo"/>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Fontepargpadro"/>
    <w:link w:val="Cabealho"/>
    <w:uiPriority w:val="99"/>
    <w:qFormat w:val="1"/>
    <w:rsid w:val="00B67667"/>
    <w:rPr>
      <w:rFonts w:ascii="Times New Roman" w:cs="Times New Roman" w:eastAsia="Times New Roman" w:hAnsi="Times New Roman"/>
      <w:lang w:val="pt-PT"/>
    </w:rPr>
  </w:style>
  <w:style w:type="character" w:styleId="RodapChar" w:customStyle="1">
    <w:name w:val="Rodapé Char"/>
    <w:basedOn w:val="Fontepargpadro"/>
    <w:link w:val="Rodap"/>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Fontepargpadro"/>
    <w:uiPriority w:val="99"/>
    <w:unhideWhenUsed w:val="1"/>
    <w:rsid w:val="009C4BED"/>
    <w:rPr>
      <w:color w:val="0000ff" w:themeColor="hyperlink"/>
      <w:u w:val="single"/>
    </w:rPr>
  </w:style>
  <w:style w:type="paragraph" w:styleId="Corpodetexto">
    <w:name w:val="Body Text"/>
    <w:basedOn w:val="Normal"/>
    <w:uiPriority w:val="1"/>
    <w:qFormat w:val="1"/>
    <w:rPr>
      <w:sz w:val="24"/>
      <w:szCs w:val="24"/>
    </w:r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qFormat w:val="1"/>
    <w:rsid w:val="00DD5B38"/>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B67667"/>
    <w:pPr>
      <w:tabs>
        <w:tab w:val="center" w:pos="4252"/>
        <w:tab w:val="right" w:pos="8504"/>
      </w:tabs>
    </w:pPr>
  </w:style>
  <w:style w:type="paragraph" w:styleId="Rodap">
    <w:name w:val="footer"/>
    <w:basedOn w:val="Normal"/>
    <w:link w:val="RodapChar"/>
    <w:uiPriority w:val="99"/>
    <w:unhideWhenUsed w:val="1"/>
    <w:rsid w:val="00B67667"/>
    <w:pPr>
      <w:tabs>
        <w:tab w:val="center" w:pos="4252"/>
        <w:tab w:val="right" w:pos="8504"/>
      </w:tabs>
    </w:pPr>
  </w:style>
  <w:style w:type="table" w:styleId="TableNormal0" w:customStyle="1">
    <w:name w:val="Table Normal"/>
    <w:uiPriority w:val="2"/>
    <w:semiHidden w:val="1"/>
    <w:unhideWhenUsed w:val="1"/>
    <w:qFormat w:val="1"/>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JgFQWe2flvHqxf/gWTraMOy+g==">CgMxLjA4AHIhMTFiMU1rX3A1QkpqeXpldC00Wk9vamgtWS1hQzhZQ3ZW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2024-08-06T13:40:00Z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