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58"/>
        <w:ind w:right="0" w:hanging="0"/>
        <w:jc w:val="right"/>
        <w:rPr/>
      </w:pPr>
      <w:r>
        <w:rPr/>
        <w:drawing>
          <wp:inline distT="0" distB="0" distL="0" distR="0">
            <wp:extent cx="6299200" cy="768350"/>
            <wp:effectExtent l="0" t="0" r="0" b="0"/>
            <wp:docPr id="1" name="Picture 16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5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spacing w:lineRule="auto" w:line="244" w:before="0" w:after="0"/>
        <w:ind w:left="670" w:right="-15" w:hanging="10"/>
        <w:jc w:val="left"/>
        <w:rPr/>
      </w:pPr>
      <w:r>
        <w:rPr>
          <w:b/>
          <w:sz w:val="20"/>
        </w:rPr>
        <w:t xml:space="preserve">RESPOSTA DA CANA-DE-AÇÚCAR À INOCULAÇÃO DE BACTÉRIAS PROMOTORAS DE </w:t>
      </w:r>
    </w:p>
    <w:p>
      <w:pPr>
        <w:pStyle w:val="Normal"/>
        <w:spacing w:lineRule="auto" w:line="244" w:before="0" w:after="0"/>
        <w:ind w:left="679" w:right="-15" w:hanging="10"/>
        <w:jc w:val="left"/>
        <w:rPr/>
      </w:pPr>
      <w:r>
        <w:rPr>
          <w:b/>
          <w:sz w:val="20"/>
        </w:rPr>
        <w:t xml:space="preserve">CRESCIMENTO DE PLANTA EM SISTEMAS COM ADUBAÇÃO ORGÂNICA, MINERAL E </w:t>
      </w:r>
    </w:p>
    <w:p>
      <w:pPr>
        <w:pStyle w:val="Normal"/>
        <w:spacing w:lineRule="auto" w:line="240" w:before="0" w:after="0"/>
        <w:ind w:right="0" w:hanging="0"/>
        <w:jc w:val="center"/>
        <w:rPr/>
      </w:pPr>
      <w:r>
        <w:rPr>
          <w:b/>
          <w:sz w:val="20"/>
        </w:rPr>
        <w:t xml:space="preserve">ORGANOMINERAL </w:t>
      </w:r>
    </w:p>
    <w:p>
      <w:pPr>
        <w:pStyle w:val="Normal"/>
        <w:spacing w:lineRule="auto" w:line="240" w:before="0" w:after="0"/>
        <w:ind w:right="0" w:hanging="0"/>
        <w:jc w:val="center"/>
        <w:rPr/>
      </w:pPr>
      <w:r>
        <w:rPr>
          <w:b/>
          <w:sz w:val="20"/>
        </w:rPr>
        <w:t xml:space="preserve"> </w:t>
      </w:r>
    </w:p>
    <w:p>
      <w:pPr>
        <w:pStyle w:val="Ttulo1"/>
        <w:numPr>
          <w:ilvl w:val="0"/>
          <w:numId w:val="0"/>
        </w:numPr>
        <w:ind w:left="0" w:right="-15" w:hanging="0"/>
        <w:rPr/>
      </w:pPr>
      <w:r>
        <w:rPr>
          <w:b/>
        </w:rPr>
        <w:t xml:space="preserve">Instituição: </w:t>
      </w:r>
      <w:r>
        <w:rPr/>
        <w:t>Universidade Estadual de Mato Grosso do Sul – UEMS</w:t>
      </w:r>
      <w:r>
        <w:rPr>
          <w:sz w:val="22"/>
        </w:rPr>
        <w:t xml:space="preserve"> </w:t>
      </w:r>
    </w:p>
    <w:p>
      <w:pPr>
        <w:pStyle w:val="Normal"/>
        <w:spacing w:lineRule="auto" w:line="244" w:before="0" w:after="278"/>
        <w:ind w:left="-5" w:right="-15" w:hanging="10"/>
        <w:jc w:val="left"/>
        <w:rPr/>
      </w:pPr>
      <w:r>
        <w:rPr>
          <w:b/>
          <w:sz w:val="20"/>
        </w:rPr>
        <w:t xml:space="preserve">Área temática: Ciências Agrárias – Agronomia. </w:t>
      </w:r>
    </w:p>
    <w:p>
      <w:pPr>
        <w:pStyle w:val="Normal"/>
        <w:spacing w:lineRule="auto" w:line="244" w:before="0" w:after="0"/>
        <w:ind w:left="467" w:right="-15" w:hanging="10"/>
        <w:jc w:val="left"/>
        <w:rPr/>
      </w:pPr>
      <w:r>
        <w:rPr>
          <w:b/>
          <w:sz w:val="20"/>
        </w:rPr>
        <w:t>OLIVEIRA, Isabella Santos de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 xml:space="preserve"> </w:t>
      </w:r>
      <w:r>
        <w:rPr>
          <w:sz w:val="20"/>
        </w:rPr>
        <w:t>(</w:t>
      </w:r>
      <w:r>
        <w:rPr>
          <w:color w:val="0000FF"/>
          <w:sz w:val="20"/>
          <w:u w:val="single" w:color="0000FF"/>
        </w:rPr>
        <w:t>isaoliveiraahh0502@gmail.com</w:t>
      </w:r>
      <w:r>
        <w:rPr>
          <w:sz w:val="20"/>
        </w:rPr>
        <w:t>);</w:t>
      </w:r>
      <w:r>
        <w:rPr>
          <w:b/>
          <w:sz w:val="20"/>
        </w:rPr>
        <w:t xml:space="preserve"> GUEDES, João Vitor Ferreira Lima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</w:p>
    <w:p>
      <w:pPr>
        <w:pStyle w:val="Normal"/>
        <w:spacing w:lineRule="auto" w:line="216" w:before="0" w:after="281"/>
        <w:ind w:left="1577" w:right="0" w:hanging="1377"/>
        <w:jc w:val="left"/>
        <w:rPr/>
      </w:pPr>
      <w:r>
        <w:rPr>
          <w:sz w:val="20"/>
        </w:rPr>
        <w:t>(</w:t>
      </w:r>
      <w:r>
        <w:rPr>
          <w:color w:val="0000FF"/>
          <w:sz w:val="20"/>
          <w:u w:val="single" w:color="0000FF"/>
        </w:rPr>
        <w:t>joaovitorflguedes@gmail.com</w:t>
      </w:r>
      <w:r>
        <w:rPr>
          <w:sz w:val="20"/>
        </w:rPr>
        <w:t>);</w:t>
      </w:r>
      <w:r>
        <w:rPr>
          <w:b/>
          <w:sz w:val="20"/>
        </w:rPr>
        <w:t xml:space="preserve"> REZENDE, Thais Marcéli Vasconcelos¹ </w:t>
      </w:r>
      <w:r>
        <w:rPr>
          <w:sz w:val="20"/>
        </w:rPr>
        <w:t>(</w:t>
      </w:r>
      <w:r>
        <w:rPr>
          <w:color w:val="0000FF"/>
          <w:sz w:val="20"/>
          <w:u w:val="single" w:color="0000FF"/>
        </w:rPr>
        <w:t>thaissrezende0@gmail.com</w:t>
      </w:r>
      <w:r>
        <w:rPr>
          <w:sz w:val="20"/>
        </w:rPr>
        <w:t>);</w:t>
      </w:r>
      <w:r>
        <w:rPr>
          <w:b/>
          <w:sz w:val="20"/>
        </w:rPr>
        <w:t xml:space="preserve"> MELO, Sthela Silva¹ </w:t>
      </w:r>
      <w:r>
        <w:rPr>
          <w:sz w:val="20"/>
        </w:rPr>
        <w:t>(</w:t>
      </w:r>
      <w:r>
        <w:rPr>
          <w:color w:val="0000FF"/>
          <w:sz w:val="20"/>
          <w:u w:val="single" w:color="0000FF"/>
        </w:rPr>
        <w:t>sthela100.m@gmail.com</w:t>
      </w:r>
      <w:r>
        <w:rPr>
          <w:sz w:val="20"/>
        </w:rPr>
        <w:t>);</w:t>
      </w:r>
      <w:r>
        <w:rPr>
          <w:b/>
          <w:sz w:val="20"/>
        </w:rPr>
        <w:t xml:space="preserve"> STEINER, Fábio</w:t>
      </w:r>
      <w:r>
        <w:rPr>
          <w:sz w:val="20"/>
          <w:vertAlign w:val="superscript"/>
        </w:rPr>
        <w:t>2</w:t>
      </w:r>
      <w:r>
        <w:rPr>
          <w:b/>
          <w:sz w:val="20"/>
        </w:rPr>
        <w:t xml:space="preserve"> </w:t>
      </w:r>
      <w:r>
        <w:rPr>
          <w:sz w:val="20"/>
        </w:rPr>
        <w:t>(</w:t>
      </w:r>
      <w:r>
        <w:rPr>
          <w:color w:val="0000FF"/>
          <w:sz w:val="20"/>
          <w:u w:val="single" w:color="0000FF"/>
        </w:rPr>
        <w:t>steiner@uems.br</w:t>
      </w:r>
      <w:r>
        <w:rPr>
          <w:sz w:val="20"/>
        </w:rPr>
        <w:t>).</w:t>
      </w:r>
      <w:r>
        <w:rPr>
          <w:sz w:val="24"/>
        </w:rPr>
        <w:t xml:space="preserve"> </w:t>
      </w:r>
    </w:p>
    <w:p>
      <w:pPr>
        <w:pStyle w:val="Ttulo1"/>
        <w:keepNext w:val="true"/>
        <w:keepLines/>
        <w:widowControl/>
        <w:bidi w:val="0"/>
        <w:spacing w:lineRule="auto" w:line="240" w:before="0" w:after="0"/>
        <w:ind w:left="0" w:right="510" w:hanging="0"/>
        <w:jc w:val="both"/>
        <w:rPr/>
      </w:pPr>
      <w:r>
        <w:rPr/>
        <w:t xml:space="preserve">– </w:t>
      </w:r>
      <w:r>
        <w:rPr/>
        <w:t xml:space="preserve">Discente do Curso de Graduação em Agronomia, UEMS/Cassilândia. </w:t>
      </w:r>
      <w:r>
        <w:rPr>
          <w:vertAlign w:val="superscript"/>
        </w:rPr>
        <w:t>2</w:t>
      </w:r>
      <w:r>
        <w:rPr/>
        <w:t xml:space="preserve"> – Docente do Curso de Graduação em Agronomia,UEMS/Cassilândia. </w:t>
      </w:r>
    </w:p>
    <w:p>
      <w:pPr>
        <w:pStyle w:val="Normal"/>
        <w:spacing w:lineRule="auto" w:line="240" w:before="0" w:after="0"/>
        <w:ind w:right="0" w:hanging="0"/>
        <w:jc w:val="left"/>
        <w:rPr/>
      </w:pPr>
      <w:r>
        <w:rPr>
          <w:sz w:val="20"/>
        </w:rPr>
        <w:t xml:space="preserve">  </w:t>
      </w:r>
    </w:p>
    <w:p>
      <w:pPr>
        <w:pStyle w:val="Normal"/>
        <w:rPr/>
      </w:pPr>
      <w:r>
        <w:rPr/>
        <w:t>O uso de inoculantes a base de bactérias promotora de crescimento vegetal tem sido fundamental para potencializar o crescimento e o desenvolvimento das lavouras de cana-de-açúcar, uma vez que a inoculação de microrganismos benéficos pode auxiliar nos processos metabólicos e fisiológicos das plantas. Portanto, as pesquisas com a finalidade de testar a utilização de bactérias promotoras de crescimento vegetal em sistema de manejo convencional e orgânico pode proporcionar alternativas interessantes para o desenvolvimento da planta e proporcionar melhores condições físicas, químicas e biológicas do solo. Este estudo foi conduzido com a finalidade de avaliar a eficiência da inoculação e/ou coinoculação das mudas pré-brotadas de cana-deaçúcar (</w:t>
      </w:r>
      <w:r>
        <w:rPr>
          <w:i/>
        </w:rPr>
        <w:t>Saccharum</w:t>
      </w:r>
      <w:r>
        <w:rPr/>
        <w:t xml:space="preserve"> spp.) com </w:t>
      </w:r>
      <w:r>
        <w:rPr>
          <w:i/>
        </w:rPr>
        <w:t>Bacillus subtilis</w:t>
      </w:r>
      <w:r>
        <w:rPr/>
        <w:t xml:space="preserve">, </w:t>
      </w:r>
      <w:r>
        <w:rPr>
          <w:i/>
        </w:rPr>
        <w:t>Azospirillum brasiliense</w:t>
      </w:r>
      <w:r>
        <w:rPr/>
        <w:t xml:space="preserve">, </w:t>
      </w:r>
      <w:r>
        <w:rPr>
          <w:i/>
        </w:rPr>
        <w:t>Rhizobium tropici</w:t>
      </w:r>
      <w:r>
        <w:rPr/>
        <w:t xml:space="preserve"> e </w:t>
      </w:r>
      <w:r>
        <w:rPr>
          <w:i/>
        </w:rPr>
        <w:t>Pseudomonas fluorescens</w:t>
      </w:r>
      <w:r>
        <w:rPr/>
        <w:t xml:space="preserve"> em sistema de cultivo submetidos a adubação orgânica, mineral e organomineral. O experimento foi conduzido em condições de casa-de-vegetação no Departamento de Fitotecnia da Universidade Estadual de Mato Grosso do Sul – UEMS/Cassilândia. O delineamento experimental utilizado foi o de blocos ao acaso (DBC), disposto em esquema fatorial 2 × 2 × 3 com quatro repetição. Os tratamentos foram constituídos pelo cultivo de duas variedades de cana-de-açúcar (RB867515 e CTC4), dois tratamentos de coinoculação de bactérias promotoras de crescimento de planta [sem inoculação (controle) e com inoculação das mudas prébrotadas de cana-de-açúcar com </w:t>
      </w:r>
      <w:r>
        <w:rPr>
          <w:i/>
        </w:rPr>
        <w:t>Bacillus subtilis</w:t>
      </w:r>
      <w:r>
        <w:rPr/>
        <w:t xml:space="preserve">, </w:t>
      </w:r>
      <w:r>
        <w:rPr>
          <w:i/>
        </w:rPr>
        <w:t>Azospirillum brasiliense</w:t>
      </w:r>
      <w:r>
        <w:rPr/>
        <w:t xml:space="preserve">, </w:t>
      </w:r>
      <w:r>
        <w:rPr>
          <w:i/>
        </w:rPr>
        <w:t>Rhizobium tropici</w:t>
      </w:r>
      <w:r>
        <w:rPr/>
        <w:t xml:space="preserve"> e</w:t>
      </w:r>
      <w:r>
        <w:rPr>
          <w:i/>
        </w:rPr>
        <w:t xml:space="preserve"> Pseudomonas fluorescens</w:t>
      </w:r>
      <w:r>
        <w:rPr/>
        <w:t>] e por três fontes de adubação [aplicação de torta de filtro (adubação orgânica), aplicação de fertilizantes NPK (adubação mineral) e aplicação de 50% de torta de filtro e 50% de fertilizante NPK (adubação organomineral)]. A adubação mineral constou da aplicação de 800 mg dm</w:t>
      </w:r>
      <w:r>
        <w:rPr>
          <w:vertAlign w:val="superscript"/>
        </w:rPr>
        <w:t>–3</w:t>
      </w:r>
      <w:r>
        <w:rPr/>
        <w:t xml:space="preserve"> do fertilizante NPK 04-14-08, a adubação orgânica constou da aplicação de 50 g dm</w:t>
      </w:r>
      <w:r>
        <w:rPr>
          <w:vertAlign w:val="superscript"/>
        </w:rPr>
        <w:t>–3</w:t>
      </w:r>
      <w:r>
        <w:rPr/>
        <w:t xml:space="preserve"> de torta de filtro e a adubação organomineral foi realização com a aplicação de 400 mg dm</w:t>
      </w:r>
      <w:r>
        <w:rPr>
          <w:vertAlign w:val="superscript"/>
        </w:rPr>
        <w:t>–3</w:t>
      </w:r>
      <w:r>
        <w:rPr/>
        <w:t xml:space="preserve"> do fertilizante NPK 04-14-08 + 50 g dm</w:t>
      </w:r>
      <w:r>
        <w:rPr>
          <w:vertAlign w:val="superscript"/>
        </w:rPr>
        <w:t>–3</w:t>
      </w:r>
      <w:r>
        <w:rPr/>
        <w:t xml:space="preserve"> de torta de filtro. A inoculação das mudas com as bactérias promotoras de crescimento vegetal foi realizada utilizando-se o inoculante comercial BioCompost</w:t>
      </w:r>
      <w:r>
        <w:rPr>
          <w:vertAlign w:val="superscript"/>
        </w:rPr>
        <w:t>®</w:t>
      </w:r>
      <w:r>
        <w:rPr/>
        <w:t xml:space="preserve">, o qual contém as bactérias </w:t>
      </w:r>
      <w:r>
        <w:rPr>
          <w:i/>
        </w:rPr>
        <w:t>Bacillus subtilis</w:t>
      </w:r>
      <w:r>
        <w:rPr/>
        <w:t xml:space="preserve">, </w:t>
      </w:r>
      <w:r>
        <w:rPr>
          <w:i/>
        </w:rPr>
        <w:t>Azospirillum brasiliense</w:t>
      </w:r>
      <w:r>
        <w:rPr/>
        <w:t xml:space="preserve">, </w:t>
      </w:r>
      <w:r>
        <w:rPr>
          <w:i/>
        </w:rPr>
        <w:t>Rhizobium tropici</w:t>
      </w:r>
      <w:r>
        <w:rPr/>
        <w:t xml:space="preserve"> e </w:t>
      </w:r>
      <w:r>
        <w:rPr>
          <w:i/>
        </w:rPr>
        <w:t>Pseudomonas fluorescens</w:t>
      </w:r>
      <w:r>
        <w:rPr/>
        <w:t xml:space="preserve"> na concentração mínima de 1,0 × 10</w:t>
      </w:r>
      <w:r>
        <w:rPr>
          <w:vertAlign w:val="superscript"/>
        </w:rPr>
        <w:t>8</w:t>
      </w:r>
      <w:r>
        <w:rPr/>
        <w:t xml:space="preserve"> unidades formadoras de colônias (UFC) por mL], na dosagem de 4 mL do inoculante por muda pré-brotadas. Aos 75 dias após o plantio foram avaliados a altura de planta, diâmetro do colmo, número de perfilhos, número de folhas, volume radicular, matéria seca da parte aérea, matéria seca das raízes e matéria seca total. Os resultados evidenciaram que a </w:t>
      </w:r>
      <w:r>
        <w:rPr>
          <w:color w:val="222222"/>
        </w:rPr>
        <w:t xml:space="preserve">inoculação de bactérias promotoras de crescimento vegetal não inferiu nas características morfológicas das duas cultivares de cana-de-açúcar. A adubação organomineral com fertilizante mineral em associação com torta de filtro resultou na melhoria do crescimento inicial das cultivares de cana-de-açúcar, apontando ser uma estratégia interessante para melhorar a produtividade de colmos dos canaviais brasileiros. </w:t>
      </w:r>
      <w:r>
        <w:rPr>
          <w:sz w:val="20"/>
        </w:rPr>
        <w:t xml:space="preserve"> </w:t>
      </w:r>
    </w:p>
    <w:p>
      <w:pPr>
        <w:pStyle w:val="Ttulo1"/>
        <w:numPr>
          <w:ilvl w:val="0"/>
          <w:numId w:val="0"/>
        </w:numPr>
        <w:ind w:left="0" w:right="-15" w:hanging="0"/>
        <w:rPr/>
      </w:pPr>
      <w:r>
        <w:rPr>
          <w:b/>
        </w:rPr>
        <w:t>PALAVRAS-CHAVE:</w:t>
      </w:r>
      <w:r>
        <w:rPr/>
        <w:t xml:space="preserve"> </w:t>
      </w:r>
      <w:r>
        <w:rPr>
          <w:i/>
          <w:sz w:val="22"/>
        </w:rPr>
        <w:t>Saccharum</w:t>
      </w:r>
      <w:r>
        <w:rPr>
          <w:sz w:val="22"/>
        </w:rPr>
        <w:t xml:space="preserve"> spp.</w:t>
      </w:r>
      <w:r>
        <w:rPr/>
        <w:t xml:space="preserve">, inoculação, fontes de nutrientes. </w:t>
      </w:r>
    </w:p>
    <w:p>
      <w:pPr>
        <w:pStyle w:val="Normal"/>
        <w:spacing w:lineRule="auto" w:line="244" w:before="0" w:after="1378"/>
        <w:ind w:left="-5" w:right="-15" w:hanging="10"/>
        <w:jc w:val="left"/>
        <w:rPr/>
      </w:pPr>
      <w:r>
        <w:rPr>
          <w:b/>
          <w:sz w:val="20"/>
        </w:rPr>
        <w:t>AGRADECIMENTOS:</w:t>
      </w:r>
      <w:r>
        <w:rPr>
          <w:sz w:val="20"/>
        </w:rPr>
        <w:t xml:space="preserve"> CNPq.</w:t>
      </w:r>
      <w:r>
        <w:rPr/>
        <w:t xml:space="preserve"> </w:t>
      </w:r>
      <w:r>
        <w:rPr>
          <w:sz w:val="20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page">
              <wp:posOffset>721360</wp:posOffset>
            </wp:positionH>
            <wp:positionV relativeFrom="page">
              <wp:posOffset>9931400</wp:posOffset>
            </wp:positionV>
            <wp:extent cx="1605280" cy="454660"/>
            <wp:effectExtent l="0" t="0" r="0" b="0"/>
            <wp:wrapTopAndBottom/>
            <wp:docPr id="2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sectPr>
      <w:type w:val="nextPage"/>
      <w:pgSz w:w="11906" w:h="16838"/>
      <w:pgMar w:left="1132" w:right="864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rFonts w:ascii="Times New Roman" w:hAnsi="Times New Roman" w:eastAsia="Times New Roman" w:cs="Times New Roman"/>
        <w:color w:val="000000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32" w:before="0" w:after="295"/>
      <w:ind w:right="217" w:hanging="0"/>
      <w:jc w:val="both"/>
    </w:pPr>
    <w:rPr>
      <w:rFonts w:ascii="Times New Roman" w:hAnsi="Times New Roman" w:eastAsia="Times New Roman" w:cs="Times New Roman"/>
      <w:color w:val="000000"/>
      <w:kern w:val="2"/>
      <w:sz w:val="22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bidi w:val="0"/>
      <w:spacing w:lineRule="auto" w:line="240" w:before="0" w:after="285"/>
      <w:ind w:left="-5" w:right="-15" w:hanging="10"/>
      <w:jc w:val="left"/>
      <w:outlineLvl w:val="0"/>
    </w:pPr>
    <w:rPr>
      <w:rFonts w:ascii="Times New Roman" w:hAnsi="Times New Roman" w:eastAsia="Times New Roman" w:cs="Times New Roman"/>
      <w:color w:val="000000"/>
      <w:kern w:val="2"/>
      <w:sz w:val="20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color w:val="000000"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544</Words>
  <Characters>3362</Characters>
  <CharactersWithSpaces>3910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2024-08-08T20:07:00Z</dcterms:created>
  <dc:creator>Usuário do Windows</dc:creator>
  <dc:description/>
  <dc:language>pt-BR</dc:language>
  <cp:lastModifiedBy/>
  <dcterms:modified xsi:type="dcterms:W3CDTF">2024-08-08T16:47:47Z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