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lineRule="auto" w:line="240"/>
        <w:jc w:val="center"/>
        <w:rPr>
          <w:sz w:val="20"/>
          <w:szCs w:val="20"/>
        </w:rPr>
      </w:pPr>
      <w:r>
        <w:rPr>
          <w:sz w:val="20"/>
          <w:szCs w:val="20"/>
        </w:rPr>
      </w:r>
    </w:p>
    <w:p>
      <w:pPr>
        <w:pStyle w:val="Corpodotexto"/>
        <w:spacing w:lineRule="auto" w:line="240"/>
        <w:jc w:val="center"/>
        <w:rPr>
          <w:sz w:val="20"/>
          <w:szCs w:val="20"/>
        </w:rPr>
      </w:pPr>
      <w:r>
        <w:rPr>
          <w:b/>
          <w:sz w:val="20"/>
          <w:szCs w:val="20"/>
        </w:rPr>
        <w:t>O RACISMO INSTITUCIONAL NO SISTEMA JUDICIÁRIO BRASILEIRO</w:t>
      </w:r>
    </w:p>
    <w:p>
      <w:pPr>
        <w:pStyle w:val="Normal"/>
        <w:spacing w:lineRule="auto" w:line="240" w:before="0" w:after="283"/>
        <w:jc w:val="center"/>
        <w:rPr>
          <w:sz w:val="20"/>
          <w:szCs w:val="20"/>
        </w:rPr>
      </w:pPr>
      <w:r>
        <w:rPr>
          <w:sz w:val="20"/>
          <w:szCs w:val="20"/>
        </w:rPr>
      </w:r>
    </w:p>
    <w:p>
      <w:pPr>
        <w:pStyle w:val="Normal"/>
        <w:spacing w:lineRule="auto" w:line="240" w:before="0" w:after="283"/>
        <w:jc w:val="both"/>
        <w:rPr>
          <w:sz w:val="20"/>
          <w:szCs w:val="20"/>
        </w:rPr>
      </w:pPr>
      <w:r>
        <w:rPr>
          <w:b/>
          <w:bCs/>
          <w:sz w:val="20"/>
          <w:szCs w:val="20"/>
        </w:rPr>
        <w:t xml:space="preserve">Instituição: </w:t>
      </w:r>
      <w:r>
        <w:rPr>
          <w:sz w:val="20"/>
          <w:szCs w:val="20"/>
        </w:rPr>
        <w:t xml:space="preserve">Universidade Estadual de Mato Grosso do Sul </w:t>
      </w:r>
    </w:p>
    <w:p>
      <w:pPr>
        <w:pStyle w:val="Normal"/>
        <w:spacing w:lineRule="auto" w:line="240" w:before="1" w:after="0"/>
        <w:ind w:left="102" w:right="323" w:hanging="0"/>
        <w:rPr>
          <w:sz w:val="20"/>
          <w:szCs w:val="20"/>
        </w:rPr>
      </w:pPr>
      <w:r>
        <w:rPr>
          <w:b/>
          <w:bCs/>
          <w:sz w:val="20"/>
          <w:szCs w:val="20"/>
        </w:rPr>
        <w:t xml:space="preserve">Área temática: </w:t>
      </w:r>
      <w:r>
        <w:rPr>
          <w:sz w:val="20"/>
          <w:szCs w:val="20"/>
        </w:rPr>
        <w:t>Grande área, área e subárea do CNPq: Ciências Sociais</w:t>
      </w:r>
      <w:r>
        <w:rPr>
          <w:spacing w:val="-64"/>
          <w:sz w:val="20"/>
          <w:szCs w:val="20"/>
        </w:rPr>
        <w:t xml:space="preserve"> </w:t>
      </w:r>
      <w:r>
        <w:rPr>
          <w:sz w:val="20"/>
          <w:szCs w:val="20"/>
        </w:rPr>
        <w:t>Aplicadas:</w:t>
      </w:r>
      <w:r>
        <w:rPr>
          <w:spacing w:val="-1"/>
          <w:sz w:val="20"/>
          <w:szCs w:val="20"/>
        </w:rPr>
        <w:t xml:space="preserve"> </w:t>
      </w:r>
      <w:r>
        <w:rPr>
          <w:sz w:val="20"/>
          <w:szCs w:val="20"/>
        </w:rPr>
        <w:t>Direito: Direito Público</w:t>
      </w:r>
    </w:p>
    <w:p>
      <w:pPr>
        <w:pStyle w:val="Normal"/>
        <w:spacing w:lineRule="auto" w:line="240" w:before="0" w:after="283"/>
        <w:jc w:val="both"/>
        <w:rPr>
          <w:sz w:val="20"/>
          <w:szCs w:val="20"/>
        </w:rPr>
      </w:pPr>
      <w:r>
        <w:rPr>
          <w:sz w:val="20"/>
          <w:szCs w:val="20"/>
        </w:rPr>
      </w:r>
    </w:p>
    <w:p>
      <w:pPr>
        <w:pStyle w:val="Corpodotexto"/>
        <w:spacing w:lineRule="auto" w:line="240" w:before="0" w:after="283"/>
        <w:jc w:val="both"/>
        <w:rPr/>
      </w:pPr>
      <w:r>
        <w:rPr>
          <w:rFonts w:eastAsia="Calibri"/>
          <w:b/>
          <w:sz w:val="20"/>
          <w:szCs w:val="20"/>
          <w:lang w:eastAsia="zh-CN"/>
        </w:rPr>
        <w:t xml:space="preserve">RAIMUNDO, </w:t>
      </w:r>
      <w:r>
        <w:rPr>
          <w:rFonts w:eastAsia="Calibri"/>
          <w:sz w:val="20"/>
          <w:szCs w:val="20"/>
          <w:lang w:eastAsia="zh-CN"/>
        </w:rPr>
        <w:t>Raíssa da Silva</w:t>
      </w:r>
      <w:r>
        <w:rPr>
          <w:rFonts w:eastAsia="Calibri"/>
          <w:sz w:val="20"/>
          <w:szCs w:val="20"/>
          <w:vertAlign w:val="superscript"/>
          <w:lang w:eastAsia="zh-CN"/>
        </w:rPr>
        <w:t>1</w:t>
      </w:r>
      <w:r>
        <w:rPr>
          <w:rFonts w:eastAsia="Calibri"/>
          <w:sz w:val="20"/>
          <w:szCs w:val="20"/>
          <w:lang w:eastAsia="zh-CN"/>
        </w:rPr>
        <w:t xml:space="preserve"> </w:t>
      </w:r>
      <w:r>
        <w:rPr>
          <w:rFonts w:eastAsia="Calibri"/>
          <w:sz w:val="20"/>
          <w:szCs w:val="20"/>
        </w:rPr>
        <w:t>(</w:t>
      </w:r>
      <w:hyperlink r:id="rId2">
        <w:r>
          <w:rPr>
            <w:rStyle w:val="LinkdaInternet"/>
            <w:rFonts w:eastAsia="Calibri"/>
            <w:sz w:val="20"/>
            <w:szCs w:val="20"/>
            <w:lang w:eastAsia="zh-CN"/>
          </w:rPr>
          <w:t>46456725844@academicos.uems.br</w:t>
        </w:r>
      </w:hyperlink>
      <w:r>
        <w:rPr>
          <w:rFonts w:eastAsia="Calibri"/>
          <w:sz w:val="20"/>
          <w:szCs w:val="20"/>
          <w:lang w:eastAsia="zh-CN"/>
        </w:rPr>
        <w:t>);</w:t>
      </w:r>
      <w:r>
        <w:rPr>
          <w:rFonts w:eastAsia="Calibri"/>
          <w:b/>
          <w:sz w:val="20"/>
          <w:szCs w:val="20"/>
          <w:lang w:eastAsia="zh-CN"/>
        </w:rPr>
        <w:t xml:space="preserve"> CARVALHO, </w:t>
      </w:r>
      <w:r>
        <w:rPr>
          <w:rFonts w:eastAsia="Calibri"/>
          <w:sz w:val="20"/>
          <w:szCs w:val="20"/>
          <w:lang w:eastAsia="zh-CN"/>
        </w:rPr>
        <w:t>Acelino Rodrigues (</w:t>
      </w:r>
      <w:hyperlink r:id="rId3">
        <w:r>
          <w:rPr>
            <w:rStyle w:val="LinkdaInternet"/>
            <w:rFonts w:eastAsia="Calibri"/>
            <w:sz w:val="20"/>
            <w:szCs w:val="20"/>
            <w:lang w:eastAsia="zh-CN"/>
          </w:rPr>
          <w:t>acelino@uems.br</w:t>
        </w:r>
      </w:hyperlink>
      <w:r>
        <w:rPr>
          <w:rFonts w:eastAsia="Calibri"/>
          <w:sz w:val="20"/>
          <w:szCs w:val="20"/>
          <w:lang w:eastAsia="zh-CN"/>
        </w:rPr>
        <w:t>)</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p>
    <w:p>
      <w:pPr>
        <w:pStyle w:val="Corpodotexto"/>
        <w:spacing w:lineRule="auto" w:line="240"/>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Direito da UEMS- Dourados;</w:t>
      </w:r>
    </w:p>
    <w:p>
      <w:pPr>
        <w:pStyle w:val="Corpodotexto"/>
        <w:spacing w:lineRule="auto" w:line="240"/>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 do Curso de Direito da UEMS- Dourados;</w:t>
      </w:r>
    </w:p>
    <w:p>
      <w:pPr>
        <w:pStyle w:val="Corpodotexto"/>
        <w:spacing w:lineRule="auto" w:line="240"/>
        <w:jc w:val="both"/>
        <w:rPr>
          <w:b/>
          <w:b/>
          <w:sz w:val="20"/>
          <w:szCs w:val="20"/>
        </w:rPr>
      </w:pPr>
      <w:r>
        <w:rPr>
          <w:b/>
          <w:sz w:val="20"/>
          <w:szCs w:val="20"/>
        </w:rPr>
      </w:r>
    </w:p>
    <w:p>
      <w:pPr>
        <w:pStyle w:val="Normal"/>
        <w:spacing w:lineRule="auto" w:line="240" w:before="0" w:after="283"/>
        <w:jc w:val="both"/>
        <w:rPr>
          <w:sz w:val="20"/>
          <w:szCs w:val="20"/>
        </w:rPr>
      </w:pPr>
      <w:r>
        <w:rPr>
          <w:sz w:val="20"/>
          <w:szCs w:val="20"/>
          <w:lang w:eastAsia="pt-BR"/>
        </w:rPr>
        <w:t xml:space="preserve">A conjuntura herdada do processo de colonização, resultaram em fatos sociais, jurídicos, políticos, que ressoam nas lutas das mais vilipendias deflagrações raciais da política institucional, sob um viés de domínio por parte da elite brasileira que sempre ditou quanto a impermibiabilidade dos postos dotados de poderes. Tal construção perpassa a atualidade, enraizando-se em uma política predatória e excludente que repercute na sistematização judiciária e legislativa brasileira, uma vez que o Estado incumbe o dever de de implementar políticas públicas eficazes no combate ao racismo. Dessa forma, o Brasil como um país que nasceu do encontro das culturas e civilizações não pode ausentar-se desse debate, é necessário compreender as facetas relacionadas ao racismo institucional, como um conjunto de ações ligadas ao preconceito, em sua maioria insconciente, que resulta em práticas violentas e discriminatórias intrínsecas a sociedade. Diante desse contexto, impõe-se a realização de um estudo minucioso acerca do racismo institucional, visando garantir que o princípio constitucional da igualdade perante a lei, consagrado no artigo 5º, caput, da Carta Magna de 1988, não se limite a uma mera declamação retórica, mas se concretize de forma efetiva em benefício de todas as etnias. </w:t>
      </w:r>
      <w:r>
        <w:rPr>
          <w:sz w:val="20"/>
          <w:szCs w:val="20"/>
        </w:rPr>
        <w:t>O objetivo principal é compreender de que forma a interpretação das normas jurídicas</w:t>
      </w:r>
      <w:r>
        <w:rPr>
          <w:spacing w:val="-61"/>
          <w:sz w:val="20"/>
          <w:szCs w:val="20"/>
        </w:rPr>
        <w:t xml:space="preserve">    </w:t>
      </w:r>
      <w:r>
        <w:rPr>
          <w:sz w:val="20"/>
          <w:szCs w:val="20"/>
        </w:rPr>
        <w:t xml:space="preserve"> a cognição decisória influenciam a construção consubstancial de decisões judiciais,</w:t>
      </w:r>
      <w:r>
        <w:rPr>
          <w:spacing w:val="1"/>
          <w:sz w:val="20"/>
          <w:szCs w:val="20"/>
        </w:rPr>
        <w:t xml:space="preserve"> </w:t>
      </w:r>
      <w:r>
        <w:rPr>
          <w:sz w:val="20"/>
          <w:szCs w:val="20"/>
        </w:rPr>
        <w:t>principalmente</w:t>
      </w:r>
      <w:r>
        <w:rPr>
          <w:spacing w:val="-2"/>
          <w:sz w:val="20"/>
          <w:szCs w:val="20"/>
        </w:rPr>
        <w:t xml:space="preserve"> </w:t>
      </w:r>
      <w:r>
        <w:rPr>
          <w:sz w:val="20"/>
          <w:szCs w:val="20"/>
        </w:rPr>
        <w:t>no</w:t>
      </w:r>
      <w:r>
        <w:rPr>
          <w:spacing w:val="-1"/>
          <w:sz w:val="20"/>
          <w:szCs w:val="20"/>
        </w:rPr>
        <w:t xml:space="preserve"> </w:t>
      </w:r>
      <w:r>
        <w:rPr>
          <w:sz w:val="20"/>
          <w:szCs w:val="20"/>
        </w:rPr>
        <w:t>que</w:t>
      </w:r>
      <w:r>
        <w:rPr>
          <w:spacing w:val="-1"/>
          <w:sz w:val="20"/>
          <w:szCs w:val="20"/>
        </w:rPr>
        <w:t xml:space="preserve"> </w:t>
      </w:r>
      <w:r>
        <w:rPr>
          <w:sz w:val="20"/>
          <w:szCs w:val="20"/>
        </w:rPr>
        <w:t>tange</w:t>
      </w:r>
      <w:r>
        <w:rPr>
          <w:spacing w:val="-2"/>
          <w:sz w:val="20"/>
          <w:szCs w:val="20"/>
        </w:rPr>
        <w:t xml:space="preserve"> </w:t>
      </w:r>
      <w:r>
        <w:rPr>
          <w:sz w:val="20"/>
          <w:szCs w:val="20"/>
        </w:rPr>
        <w:t>à abordagem</w:t>
      </w:r>
      <w:r>
        <w:rPr>
          <w:spacing w:val="2"/>
          <w:sz w:val="20"/>
          <w:szCs w:val="20"/>
        </w:rPr>
        <w:t xml:space="preserve"> </w:t>
      </w:r>
      <w:r>
        <w:rPr>
          <w:sz w:val="20"/>
          <w:szCs w:val="20"/>
        </w:rPr>
        <w:t>das</w:t>
      </w:r>
      <w:r>
        <w:rPr>
          <w:spacing w:val="-2"/>
          <w:sz w:val="20"/>
          <w:szCs w:val="20"/>
        </w:rPr>
        <w:t xml:space="preserve"> </w:t>
      </w:r>
      <w:r>
        <w:rPr>
          <w:sz w:val="20"/>
          <w:szCs w:val="20"/>
        </w:rPr>
        <w:t>questões</w:t>
      </w:r>
      <w:r>
        <w:rPr>
          <w:spacing w:val="-1"/>
          <w:sz w:val="20"/>
          <w:szCs w:val="20"/>
        </w:rPr>
        <w:t xml:space="preserve"> </w:t>
      </w:r>
      <w:r>
        <w:rPr>
          <w:sz w:val="20"/>
          <w:szCs w:val="20"/>
        </w:rPr>
        <w:t>raciais. Dessa forma, toda a pesquisa bibliográfica realizada demonstra a necessidade de,</w:t>
      </w:r>
      <w:r>
        <w:rPr>
          <w:spacing w:val="1"/>
          <w:sz w:val="20"/>
          <w:szCs w:val="20"/>
        </w:rPr>
        <w:t xml:space="preserve"> </w:t>
      </w:r>
      <w:r>
        <w:rPr>
          <w:sz w:val="20"/>
          <w:szCs w:val="20"/>
        </w:rPr>
        <w:t>promover</w:t>
      </w:r>
      <w:r>
        <w:rPr>
          <w:spacing w:val="1"/>
          <w:sz w:val="20"/>
          <w:szCs w:val="20"/>
        </w:rPr>
        <w:t xml:space="preserve"> </w:t>
      </w:r>
      <w:r>
        <w:rPr>
          <w:sz w:val="20"/>
          <w:szCs w:val="20"/>
        </w:rPr>
        <w:t>a</w:t>
      </w:r>
      <w:r>
        <w:rPr>
          <w:spacing w:val="1"/>
          <w:sz w:val="20"/>
          <w:szCs w:val="20"/>
        </w:rPr>
        <w:t xml:space="preserve"> </w:t>
      </w:r>
      <w:r>
        <w:rPr>
          <w:sz w:val="20"/>
          <w:szCs w:val="20"/>
        </w:rPr>
        <w:t>conscientização</w:t>
      </w:r>
      <w:r>
        <w:rPr>
          <w:spacing w:val="1"/>
          <w:sz w:val="20"/>
          <w:szCs w:val="20"/>
        </w:rPr>
        <w:t xml:space="preserve"> </w:t>
      </w:r>
      <w:r>
        <w:rPr>
          <w:sz w:val="20"/>
          <w:szCs w:val="20"/>
        </w:rPr>
        <w:t>e</w:t>
      </w:r>
      <w:r>
        <w:rPr>
          <w:spacing w:val="1"/>
          <w:sz w:val="20"/>
          <w:szCs w:val="20"/>
        </w:rPr>
        <w:t xml:space="preserve"> </w:t>
      </w:r>
      <w:r>
        <w:rPr>
          <w:sz w:val="20"/>
          <w:szCs w:val="20"/>
        </w:rPr>
        <w:t>fortalecer</w:t>
      </w:r>
      <w:r>
        <w:rPr>
          <w:spacing w:val="1"/>
          <w:sz w:val="20"/>
          <w:szCs w:val="20"/>
        </w:rPr>
        <w:t xml:space="preserve"> </w:t>
      </w:r>
      <w:r>
        <w:rPr>
          <w:sz w:val="20"/>
          <w:szCs w:val="20"/>
        </w:rPr>
        <w:t>a</w:t>
      </w:r>
      <w:r>
        <w:rPr>
          <w:spacing w:val="1"/>
          <w:sz w:val="20"/>
          <w:szCs w:val="20"/>
        </w:rPr>
        <w:t xml:space="preserve"> </w:t>
      </w:r>
      <w:r>
        <w:rPr>
          <w:sz w:val="20"/>
          <w:szCs w:val="20"/>
        </w:rPr>
        <w:t>garantia</w:t>
      </w:r>
      <w:r>
        <w:rPr>
          <w:spacing w:val="1"/>
          <w:sz w:val="20"/>
          <w:szCs w:val="20"/>
        </w:rPr>
        <w:t xml:space="preserve"> </w:t>
      </w:r>
      <w:r>
        <w:rPr>
          <w:sz w:val="20"/>
          <w:szCs w:val="20"/>
        </w:rPr>
        <w:t>garantia</w:t>
      </w:r>
      <w:r>
        <w:rPr>
          <w:spacing w:val="64"/>
          <w:sz w:val="20"/>
          <w:szCs w:val="20"/>
        </w:rPr>
        <w:t xml:space="preserve"> </w:t>
      </w:r>
      <w:r>
        <w:rPr>
          <w:sz w:val="20"/>
          <w:szCs w:val="20"/>
        </w:rPr>
        <w:t>dos</w:t>
      </w:r>
      <w:r>
        <w:rPr>
          <w:spacing w:val="64"/>
          <w:sz w:val="20"/>
          <w:szCs w:val="20"/>
        </w:rPr>
        <w:t xml:space="preserve"> </w:t>
      </w:r>
      <w:r>
        <w:rPr>
          <w:sz w:val="20"/>
          <w:szCs w:val="20"/>
        </w:rPr>
        <w:t>direitos</w:t>
      </w:r>
      <w:r>
        <w:rPr>
          <w:spacing w:val="1"/>
          <w:sz w:val="20"/>
          <w:szCs w:val="20"/>
        </w:rPr>
        <w:t xml:space="preserve"> </w:t>
      </w:r>
      <w:r>
        <w:rPr>
          <w:sz w:val="20"/>
          <w:szCs w:val="20"/>
        </w:rPr>
        <w:t>fundamentais de todas as pessoas, independentemente de sua etnia ou origem sendo extremamente importante no viés jurídico. Quanto à metodologia, a pesquisa foi de cunho exploratório e bibliográfico, documental e qualitativa, a partir do levantamento de textos teóricos sobre a temática a ser pesquisada. A revisão da bibliografia ocorreu por meio de consultas a textos específicos constantes de livros, artigos, resenhas e bancos de dados informatizados nas bibliotecas em relação ao tema, especialmente nas áreas do direito, sociologia e teoria política, também de levantamentos jurisprudenciais e da análise de casos concretos. Os resultados refletem uma análise meticulosa</w:t>
      </w:r>
      <w:r>
        <w:rPr>
          <w:spacing w:val="1"/>
          <w:sz w:val="20"/>
          <w:szCs w:val="20"/>
        </w:rPr>
        <w:t xml:space="preserve"> </w:t>
      </w:r>
      <w:r>
        <w:rPr>
          <w:sz w:val="20"/>
          <w:szCs w:val="20"/>
        </w:rPr>
        <w:t>das</w:t>
      </w:r>
      <w:r>
        <w:rPr>
          <w:spacing w:val="1"/>
          <w:sz w:val="20"/>
          <w:szCs w:val="20"/>
        </w:rPr>
        <w:t xml:space="preserve"> </w:t>
      </w:r>
      <w:r>
        <w:rPr>
          <w:sz w:val="20"/>
          <w:szCs w:val="20"/>
        </w:rPr>
        <w:t>leis,</w:t>
      </w:r>
      <w:r>
        <w:rPr>
          <w:spacing w:val="1"/>
          <w:sz w:val="20"/>
          <w:szCs w:val="20"/>
        </w:rPr>
        <w:t xml:space="preserve"> </w:t>
      </w:r>
      <w:r>
        <w:rPr>
          <w:sz w:val="20"/>
          <w:szCs w:val="20"/>
        </w:rPr>
        <w:t>jusrisprudências,</w:t>
      </w:r>
      <w:r>
        <w:rPr>
          <w:spacing w:val="1"/>
          <w:sz w:val="20"/>
          <w:szCs w:val="20"/>
        </w:rPr>
        <w:t xml:space="preserve"> </w:t>
      </w:r>
      <w:r>
        <w:rPr>
          <w:sz w:val="20"/>
          <w:szCs w:val="20"/>
        </w:rPr>
        <w:t>artigos,</w:t>
      </w:r>
      <w:r>
        <w:rPr>
          <w:spacing w:val="1"/>
          <w:sz w:val="20"/>
          <w:szCs w:val="20"/>
        </w:rPr>
        <w:t xml:space="preserve"> </w:t>
      </w:r>
      <w:r>
        <w:rPr>
          <w:sz w:val="20"/>
          <w:szCs w:val="20"/>
        </w:rPr>
        <w:t>bem</w:t>
      </w:r>
      <w:r>
        <w:rPr>
          <w:spacing w:val="1"/>
          <w:sz w:val="20"/>
          <w:szCs w:val="20"/>
        </w:rPr>
        <w:t xml:space="preserve"> </w:t>
      </w:r>
      <w:r>
        <w:rPr>
          <w:sz w:val="20"/>
          <w:szCs w:val="20"/>
        </w:rPr>
        <w:t>como</w:t>
      </w:r>
      <w:r>
        <w:rPr>
          <w:spacing w:val="1"/>
          <w:sz w:val="20"/>
          <w:szCs w:val="20"/>
        </w:rPr>
        <w:t xml:space="preserve"> </w:t>
      </w:r>
      <w:r>
        <w:rPr>
          <w:sz w:val="20"/>
          <w:szCs w:val="20"/>
        </w:rPr>
        <w:t>textos</w:t>
      </w:r>
      <w:r>
        <w:rPr>
          <w:spacing w:val="1"/>
          <w:sz w:val="20"/>
          <w:szCs w:val="20"/>
        </w:rPr>
        <w:t xml:space="preserve"> </w:t>
      </w:r>
      <w:r>
        <w:rPr>
          <w:sz w:val="20"/>
          <w:szCs w:val="20"/>
        </w:rPr>
        <w:t>teóricos</w:t>
      </w:r>
      <w:r>
        <w:rPr>
          <w:spacing w:val="1"/>
          <w:sz w:val="20"/>
          <w:szCs w:val="20"/>
        </w:rPr>
        <w:t xml:space="preserve"> </w:t>
      </w:r>
      <w:r>
        <w:rPr>
          <w:sz w:val="20"/>
          <w:szCs w:val="20"/>
        </w:rPr>
        <w:t>correlacionados</w:t>
      </w:r>
      <w:r>
        <w:rPr>
          <w:spacing w:val="1"/>
          <w:sz w:val="20"/>
          <w:szCs w:val="20"/>
        </w:rPr>
        <w:t xml:space="preserve"> </w:t>
      </w:r>
      <w:r>
        <w:rPr>
          <w:sz w:val="20"/>
          <w:szCs w:val="20"/>
        </w:rPr>
        <w:t>ao</w:t>
      </w:r>
      <w:r>
        <w:rPr>
          <w:spacing w:val="1"/>
          <w:sz w:val="20"/>
          <w:szCs w:val="20"/>
        </w:rPr>
        <w:t xml:space="preserve"> </w:t>
      </w:r>
      <w:r>
        <w:rPr>
          <w:sz w:val="20"/>
          <w:szCs w:val="20"/>
        </w:rPr>
        <w:t>objeto,</w:t>
      </w:r>
      <w:r>
        <w:rPr>
          <w:spacing w:val="1"/>
          <w:sz w:val="20"/>
          <w:szCs w:val="20"/>
        </w:rPr>
        <w:t xml:space="preserve"> </w:t>
      </w:r>
      <w:r>
        <w:rPr>
          <w:sz w:val="20"/>
          <w:szCs w:val="20"/>
        </w:rPr>
        <w:t>fornecendo</w:t>
      </w:r>
      <w:r>
        <w:rPr>
          <w:spacing w:val="1"/>
          <w:sz w:val="20"/>
          <w:szCs w:val="20"/>
        </w:rPr>
        <w:t xml:space="preserve"> </w:t>
      </w:r>
      <w:r>
        <w:rPr>
          <w:sz w:val="20"/>
          <w:szCs w:val="20"/>
        </w:rPr>
        <w:t>uma</w:t>
      </w:r>
      <w:r>
        <w:rPr>
          <w:spacing w:val="1"/>
          <w:sz w:val="20"/>
          <w:szCs w:val="20"/>
        </w:rPr>
        <w:t xml:space="preserve"> </w:t>
      </w:r>
      <w:r>
        <w:rPr>
          <w:sz w:val="20"/>
          <w:szCs w:val="20"/>
        </w:rPr>
        <w:t>compreensão</w:t>
      </w:r>
      <w:r>
        <w:rPr>
          <w:spacing w:val="1"/>
          <w:sz w:val="20"/>
          <w:szCs w:val="20"/>
        </w:rPr>
        <w:t xml:space="preserve"> </w:t>
      </w:r>
      <w:r>
        <w:rPr>
          <w:sz w:val="20"/>
          <w:szCs w:val="20"/>
        </w:rPr>
        <w:t>aprofundada.</w:t>
      </w:r>
      <w:r>
        <w:rPr>
          <w:spacing w:val="1"/>
          <w:sz w:val="20"/>
          <w:szCs w:val="20"/>
        </w:rPr>
        <w:t xml:space="preserve"> </w:t>
      </w:r>
      <w:r>
        <w:rPr>
          <w:sz w:val="20"/>
          <w:szCs w:val="20"/>
        </w:rPr>
        <w:t>Esses</w:t>
      </w:r>
      <w:r>
        <w:rPr>
          <w:spacing w:val="1"/>
          <w:sz w:val="20"/>
          <w:szCs w:val="20"/>
        </w:rPr>
        <w:t xml:space="preserve"> </w:t>
      </w:r>
      <w:r>
        <w:rPr>
          <w:sz w:val="20"/>
          <w:szCs w:val="20"/>
        </w:rPr>
        <w:t>resultados</w:t>
      </w:r>
      <w:r>
        <w:rPr>
          <w:spacing w:val="1"/>
          <w:sz w:val="20"/>
          <w:szCs w:val="20"/>
        </w:rPr>
        <w:t xml:space="preserve">, </w:t>
      </w:r>
      <w:r>
        <w:rPr>
          <w:sz w:val="20"/>
          <w:szCs w:val="20"/>
        </w:rPr>
        <w:t>fornecem</w:t>
      </w:r>
      <w:r>
        <w:rPr>
          <w:spacing w:val="1"/>
          <w:sz w:val="20"/>
          <w:szCs w:val="20"/>
        </w:rPr>
        <w:t xml:space="preserve"> </w:t>
      </w:r>
      <w:r>
        <w:rPr>
          <w:sz w:val="20"/>
          <w:szCs w:val="20"/>
        </w:rPr>
        <w:t>uma</w:t>
      </w:r>
      <w:r>
        <w:rPr>
          <w:spacing w:val="1"/>
          <w:sz w:val="20"/>
          <w:szCs w:val="20"/>
        </w:rPr>
        <w:t xml:space="preserve"> </w:t>
      </w:r>
      <w:r>
        <w:rPr>
          <w:sz w:val="20"/>
          <w:szCs w:val="20"/>
        </w:rPr>
        <w:t>base</w:t>
      </w:r>
      <w:r>
        <w:rPr>
          <w:spacing w:val="1"/>
          <w:sz w:val="20"/>
          <w:szCs w:val="20"/>
        </w:rPr>
        <w:t xml:space="preserve"> </w:t>
      </w:r>
      <w:r>
        <w:rPr>
          <w:sz w:val="20"/>
          <w:szCs w:val="20"/>
        </w:rPr>
        <w:t>sólida</w:t>
      </w:r>
      <w:r>
        <w:rPr>
          <w:spacing w:val="1"/>
          <w:sz w:val="20"/>
          <w:szCs w:val="20"/>
        </w:rPr>
        <w:t xml:space="preserve"> </w:t>
      </w:r>
      <w:r>
        <w:rPr>
          <w:sz w:val="20"/>
          <w:szCs w:val="20"/>
        </w:rPr>
        <w:t>para</w:t>
      </w:r>
      <w:r>
        <w:rPr>
          <w:spacing w:val="1"/>
          <w:sz w:val="20"/>
          <w:szCs w:val="20"/>
        </w:rPr>
        <w:t xml:space="preserve"> </w:t>
      </w:r>
      <w:r>
        <w:rPr>
          <w:sz w:val="20"/>
          <w:szCs w:val="20"/>
        </w:rPr>
        <w:t>a</w:t>
      </w:r>
      <w:r>
        <w:rPr>
          <w:spacing w:val="1"/>
          <w:sz w:val="20"/>
          <w:szCs w:val="20"/>
        </w:rPr>
        <w:t xml:space="preserve"> </w:t>
      </w:r>
      <w:r>
        <w:rPr>
          <w:sz w:val="20"/>
          <w:szCs w:val="20"/>
        </w:rPr>
        <w:t>formulação</w:t>
      </w:r>
      <w:r>
        <w:rPr>
          <w:spacing w:val="1"/>
          <w:sz w:val="20"/>
          <w:szCs w:val="20"/>
        </w:rPr>
        <w:t xml:space="preserve"> </w:t>
      </w:r>
      <w:r>
        <w:rPr>
          <w:sz w:val="20"/>
          <w:szCs w:val="20"/>
        </w:rPr>
        <w:t>de</w:t>
      </w:r>
      <w:r>
        <w:rPr>
          <w:spacing w:val="1"/>
          <w:sz w:val="20"/>
          <w:szCs w:val="20"/>
        </w:rPr>
        <w:t xml:space="preserve"> </w:t>
      </w:r>
      <w:r>
        <w:rPr>
          <w:sz w:val="20"/>
          <w:szCs w:val="20"/>
        </w:rPr>
        <w:t>uma</w:t>
      </w:r>
      <w:r>
        <w:rPr>
          <w:spacing w:val="1"/>
          <w:sz w:val="20"/>
          <w:szCs w:val="20"/>
        </w:rPr>
        <w:t xml:space="preserve"> </w:t>
      </w:r>
      <w:r>
        <w:rPr>
          <w:sz w:val="20"/>
          <w:szCs w:val="20"/>
        </w:rPr>
        <w:t>análise</w:t>
      </w:r>
      <w:r>
        <w:rPr>
          <w:spacing w:val="1"/>
          <w:sz w:val="20"/>
          <w:szCs w:val="20"/>
        </w:rPr>
        <w:t xml:space="preserve"> </w:t>
      </w:r>
      <w:r>
        <w:rPr>
          <w:sz w:val="20"/>
          <w:szCs w:val="20"/>
        </w:rPr>
        <w:t>ampla</w:t>
      </w:r>
      <w:r>
        <w:rPr>
          <w:spacing w:val="1"/>
          <w:sz w:val="20"/>
          <w:szCs w:val="20"/>
        </w:rPr>
        <w:t xml:space="preserve"> </w:t>
      </w:r>
      <w:r>
        <w:rPr>
          <w:sz w:val="20"/>
          <w:szCs w:val="20"/>
        </w:rPr>
        <w:t>acerca</w:t>
      </w:r>
      <w:r>
        <w:rPr>
          <w:spacing w:val="1"/>
          <w:sz w:val="20"/>
          <w:szCs w:val="20"/>
        </w:rPr>
        <w:t xml:space="preserve"> </w:t>
      </w:r>
      <w:r>
        <w:rPr>
          <w:sz w:val="20"/>
          <w:szCs w:val="20"/>
        </w:rPr>
        <w:t>da</w:t>
      </w:r>
      <w:r>
        <w:rPr>
          <w:spacing w:val="-61"/>
          <w:sz w:val="20"/>
          <w:szCs w:val="20"/>
        </w:rPr>
        <w:t xml:space="preserve"> </w:t>
      </w:r>
      <w:r>
        <w:rPr>
          <w:sz w:val="20"/>
          <w:szCs w:val="20"/>
        </w:rPr>
        <w:t>discriminação instutucional a determinados grupos étnicos,</w:t>
      </w:r>
      <w:r>
        <w:rPr>
          <w:spacing w:val="1"/>
          <w:sz w:val="20"/>
          <w:szCs w:val="20"/>
        </w:rPr>
        <w:t xml:space="preserve"> </w:t>
      </w:r>
      <w:r>
        <w:rPr>
          <w:sz w:val="20"/>
          <w:szCs w:val="20"/>
        </w:rPr>
        <w:t>permitindo ainda, através</w:t>
      </w:r>
      <w:r>
        <w:rPr>
          <w:spacing w:val="-61"/>
          <w:sz w:val="20"/>
          <w:szCs w:val="20"/>
        </w:rPr>
        <w:t xml:space="preserve"> </w:t>
      </w:r>
      <w:r>
        <w:rPr>
          <w:sz w:val="20"/>
          <w:szCs w:val="20"/>
        </w:rPr>
        <w:t>da pesquisa a conscientização,</w:t>
      </w:r>
      <w:r>
        <w:rPr>
          <w:spacing w:val="1"/>
          <w:sz w:val="20"/>
          <w:szCs w:val="20"/>
        </w:rPr>
        <w:t xml:space="preserve"> </w:t>
      </w:r>
      <w:r>
        <w:rPr>
          <w:sz w:val="20"/>
          <w:szCs w:val="20"/>
        </w:rPr>
        <w:t>que auxilia a promoção dos direitos fundamentais a</w:t>
      </w:r>
      <w:r>
        <w:rPr>
          <w:spacing w:val="1"/>
          <w:sz w:val="20"/>
          <w:szCs w:val="20"/>
        </w:rPr>
        <w:t xml:space="preserve"> </w:t>
      </w:r>
      <w:r>
        <w:rPr>
          <w:sz w:val="20"/>
          <w:szCs w:val="20"/>
        </w:rPr>
        <w:t>todos</w:t>
      </w:r>
      <w:r>
        <w:rPr>
          <w:spacing w:val="-1"/>
          <w:sz w:val="20"/>
          <w:szCs w:val="20"/>
        </w:rPr>
        <w:t xml:space="preserve"> </w:t>
      </w:r>
      <w:r>
        <w:rPr>
          <w:sz w:val="20"/>
          <w:szCs w:val="20"/>
        </w:rPr>
        <w:t>cidadãos,</w:t>
      </w:r>
      <w:r>
        <w:rPr>
          <w:spacing w:val="1"/>
          <w:sz w:val="20"/>
          <w:szCs w:val="20"/>
        </w:rPr>
        <w:t xml:space="preserve"> </w:t>
      </w:r>
      <w:r>
        <w:rPr>
          <w:sz w:val="20"/>
          <w:szCs w:val="20"/>
        </w:rPr>
        <w:t>independente</w:t>
      </w:r>
      <w:r>
        <w:rPr>
          <w:spacing w:val="-1"/>
          <w:sz w:val="20"/>
          <w:szCs w:val="20"/>
        </w:rPr>
        <w:t xml:space="preserve"> </w:t>
      </w:r>
      <w:r>
        <w:rPr>
          <w:sz w:val="20"/>
          <w:szCs w:val="20"/>
        </w:rPr>
        <w:t>de</w:t>
      </w:r>
      <w:r>
        <w:rPr>
          <w:spacing w:val="-1"/>
          <w:sz w:val="20"/>
          <w:szCs w:val="20"/>
        </w:rPr>
        <w:t xml:space="preserve"> </w:t>
      </w:r>
      <w:r>
        <w:rPr>
          <w:sz w:val="20"/>
          <w:szCs w:val="20"/>
        </w:rPr>
        <w:t>sua</w:t>
      </w:r>
      <w:r>
        <w:rPr>
          <w:spacing w:val="-1"/>
          <w:sz w:val="20"/>
          <w:szCs w:val="20"/>
        </w:rPr>
        <w:t xml:space="preserve"> </w:t>
      </w:r>
      <w:r>
        <w:rPr>
          <w:sz w:val="20"/>
          <w:szCs w:val="20"/>
        </w:rPr>
        <w:t>etnia. Com base nas reflexões apresentadas, a pesuisa assume um papel fundamental na análise do sistema judiciário brasileiro frente às implicações do racismo institucional, tal relação visa a investigação de como as premissas e os vieses inconscientes dos operadores do Direito afetam a aplicação imparcial no sistema judiciário brasileiro. Aliada ao conhecimento das estruturas e mecanismos que sustentam o racismo institucional, possibilitar- se-á uma reflexão aprofundada sobre o papel do Judiciário na promoção da igualdade perante a lei e na garantia dos direitos fundamentais de todas as pessoas, independentemente de sua etnia ou origem.</w:t>
      </w:r>
    </w:p>
    <w:p>
      <w:pPr>
        <w:pStyle w:val="Normal"/>
        <w:spacing w:lineRule="auto" w:line="240" w:before="0" w:after="283"/>
        <w:jc w:val="both"/>
        <w:rPr>
          <w:sz w:val="20"/>
          <w:szCs w:val="20"/>
        </w:rPr>
      </w:pPr>
      <w:r>
        <w:rPr>
          <w:b/>
          <w:bCs/>
          <w:sz w:val="20"/>
          <w:szCs w:val="20"/>
          <w:lang w:eastAsia="pt-BR"/>
        </w:rPr>
        <w:t>PALAVRAS-CHAVE:</w:t>
      </w:r>
      <w:r>
        <w:rPr>
          <w:sz w:val="20"/>
          <w:szCs w:val="20"/>
          <w:lang w:eastAsia="pt-BR"/>
        </w:rPr>
        <w:t xml:space="preserve"> </w:t>
      </w:r>
      <w:r>
        <w:rPr>
          <w:sz w:val="20"/>
          <w:szCs w:val="20"/>
        </w:rPr>
        <w:t>Etnias,</w:t>
      </w:r>
      <w:r>
        <w:rPr>
          <w:spacing w:val="-6"/>
          <w:sz w:val="20"/>
          <w:szCs w:val="20"/>
        </w:rPr>
        <w:t xml:space="preserve"> </w:t>
      </w:r>
      <w:r>
        <w:rPr>
          <w:sz w:val="20"/>
          <w:szCs w:val="20"/>
        </w:rPr>
        <w:t xml:space="preserve">Institucional; Justiça.  </w:t>
      </w:r>
    </w:p>
    <w:p>
      <w:pPr>
        <w:pStyle w:val="Normal"/>
        <w:spacing w:lineRule="auto" w:line="240" w:before="0" w:after="283"/>
        <w:jc w:val="both"/>
        <w:rPr>
          <w:sz w:val="20"/>
          <w:szCs w:val="20"/>
        </w:rPr>
      </w:pPr>
      <w:r>
        <w:rPr>
          <w:b/>
          <w:bCs/>
          <w:sz w:val="20"/>
          <w:szCs w:val="20"/>
          <w:lang w:eastAsia="pt-BR"/>
        </w:rPr>
        <w:t>AGRADECIMENTOS:</w:t>
      </w:r>
      <w:r>
        <w:rPr>
          <w:sz w:val="20"/>
          <w:szCs w:val="20"/>
          <w:lang w:eastAsia="pt-BR"/>
        </w:rPr>
        <w:t xml:space="preserve"> Dedico essa pesquisa a minha mãe, pois sob muito trabalho e suor me fez chegar até aqui, e ao  meu orientador, Dr. Acelino Carvalho Rodrigues pelo incentivo e orientação. </w:t>
      </w:r>
    </w:p>
    <w:sectPr>
      <w:headerReference w:type="default" r:id="rId4"/>
      <w:footerReference w:type="default" r:id="rId5"/>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cd4887"/>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46456725844@academicos.uems.br" TargetMode="External"/><Relationship Id="rId3" Type="http://schemas.openxmlformats.org/officeDocument/2006/relationships/hyperlink" Target="mailto:acelino@uems.br"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C05B-8728-4390-A2CE-0DB487FA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Application>LibreOffice/7.3.5.2$Windows_X86_64 LibreOffice_project/184fe81b8c8c30d8b5082578aee2fed2ea847c01</Application>
  <AppVersion>15.0000</AppVersion>
  <Pages>1</Pages>
  <Words>581</Words>
  <Characters>3499</Characters>
  <CharactersWithSpaces>4084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2024-08-07T07:22:00Z</dcterms:created>
  <dc:creator>Usuário do Windows</dc:creator>
  <dc:description/>
  <dc:language>pt-BR</dc:language>
  <cp:lastModifiedBy/>
  <cp:lastPrinted>2024-08-09T15:48:00Z</cp:lastPrinted>
  <dcterms:modified xsi:type="dcterms:W3CDTF">2024-08-15T10:07:52Z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