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83" w:before="0" w:lineRule="auto"/>
        <w:jc w:val="center"/>
        <w:rPr>
          <w:sz w:val="20"/>
          <w:szCs w:val="20"/>
        </w:rPr>
      </w:pPr>
      <w:r w:rsidDel="00000000" w:rsidR="00000000" w:rsidRPr="00000000">
        <w:rPr>
          <w:b w:val="1"/>
          <w:sz w:val="20"/>
          <w:szCs w:val="20"/>
          <w:rtl w:val="0"/>
        </w:rPr>
        <w:t xml:space="preserve">TÍTULO: HOSPITALIDADE, TURISMO E COMUNIDADES TRADICIONAIS: ABORDAGENS EMPÍRICAS.</w:t>
      </w:r>
      <w:r w:rsidDel="00000000" w:rsidR="00000000" w:rsidRPr="00000000">
        <w:rPr>
          <w:rtl w:val="0"/>
        </w:rPr>
      </w:r>
    </w:p>
    <w:p w:rsidR="00000000" w:rsidDel="00000000" w:rsidP="00000000" w:rsidRDefault="00000000" w:rsidRPr="00000000" w14:paraId="00000002">
      <w:pPr>
        <w:spacing w:after="283" w:before="0"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w:t>
      </w:r>
      <w:r w:rsidDel="00000000" w:rsidR="00000000" w:rsidRPr="00000000">
        <w:rPr>
          <w:rtl w:val="0"/>
        </w:rPr>
      </w:r>
    </w:p>
    <w:p w:rsidR="00000000" w:rsidDel="00000000" w:rsidP="00000000" w:rsidRDefault="00000000" w:rsidRPr="00000000" w14:paraId="00000003">
      <w:pPr>
        <w:spacing w:after="283" w:before="0" w:lineRule="auto"/>
        <w:jc w:val="both"/>
        <w:rPr/>
      </w:pPr>
      <w:r w:rsidDel="00000000" w:rsidR="00000000" w:rsidRPr="00000000">
        <w:rPr>
          <w:b w:val="1"/>
          <w:sz w:val="20"/>
          <w:szCs w:val="20"/>
          <w:rtl w:val="0"/>
        </w:rPr>
        <w:t xml:space="preserve">Área temática: Pesquisa - </w:t>
      </w:r>
      <w:r w:rsidDel="00000000" w:rsidR="00000000" w:rsidRPr="00000000">
        <w:rPr>
          <w:sz w:val="20"/>
          <w:szCs w:val="20"/>
          <w:rtl w:val="0"/>
        </w:rPr>
        <w:t xml:space="preserve">Ciências Sociais Aplicadas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sz w:val="20"/>
          <w:szCs w:val="20"/>
          <w:rtl w:val="0"/>
        </w:rPr>
        <w:t xml:space="preserve">BARBOSA</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Bianca</w:t>
      </w:r>
      <w:r w:rsidDel="00000000" w:rsidR="00000000" w:rsidRPr="00000000">
        <w:rPr>
          <w:i w:val="0"/>
          <w:smallCaps w:val="0"/>
          <w:strike w:val="0"/>
          <w:color w:val="000000"/>
          <w:sz w:val="20"/>
          <w:szCs w:val="20"/>
          <w:u w:val="none"/>
          <w:shd w:fill="auto" w:val="clear"/>
          <w:vertAlign w:val="superscript"/>
          <w:rtl w:val="0"/>
        </w:rPr>
        <w:t xml:space="preserve">1</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biancarmybarbosa@gmail.com</w:t>
      </w:r>
      <w:r w:rsidDel="00000000" w:rsidR="00000000" w:rsidRPr="00000000">
        <w:rPr>
          <w:i w:val="0"/>
          <w:smallCaps w:val="0"/>
          <w:strike w:val="0"/>
          <w:color w:val="000000"/>
          <w:sz w:val="20"/>
          <w:szCs w:val="20"/>
          <w:u w:val="none"/>
          <w:shd w:fill="auto" w:val="clear"/>
          <w:vertAlign w:val="baseline"/>
          <w:rtl w:val="0"/>
        </w:rPr>
        <w:t xml:space="preserve">) . </w:t>
      </w:r>
      <w:r w:rsidDel="00000000" w:rsidR="00000000" w:rsidRPr="00000000">
        <w:rPr>
          <w:sz w:val="20"/>
          <w:szCs w:val="20"/>
          <w:rtl w:val="0"/>
        </w:rPr>
        <w:t xml:space="preserve">GRECHI, Dores Cristina²</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Discente do Curso de Turismo da Universidade Estadual de Mato Grosso do Sul, Unidade de Dourados. E-mail : </w:t>
      </w:r>
      <w:hyperlink r:id="rId7">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biancarmybarbosa@gmail.co</w:t>
        </w:r>
      </w:hyperlink>
      <w:hyperlink r:id="rId8">
        <w:r w:rsidDel="00000000" w:rsidR="00000000" w:rsidRPr="00000000">
          <w:rPr>
            <w:color w:val="1155cc"/>
            <w:sz w:val="20"/>
            <w:szCs w:val="20"/>
            <w:u w:val="single"/>
            <w:rtl w:val="0"/>
          </w:rPr>
          <w:t xml:space="preserve">m</w:t>
        </w:r>
      </w:hyperlink>
      <w:r w:rsidDel="00000000" w:rsidR="00000000" w:rsidRPr="00000000">
        <w:rPr>
          <w:sz w:val="20"/>
          <w:szCs w:val="20"/>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²  – Docente do Curso de Turismo da Universidade Estadual de Mato Grosso do Sul, Unidade de Dourados. Bacharel em Turismo e Hotelaria pela Universidade do Vale do Itajaí. Doutora em Economia do Desenvolvimento Regional pela Universidade Federal do Rio Grande do Sul. Membro do Grupo de Pesquisa Turismo, Hospitalidade e Sustentabilidade (GESTHOS). E-mail: </w:t>
      </w:r>
      <w:hyperlink r:id="rId9">
        <w:r w:rsidDel="00000000" w:rsidR="00000000" w:rsidRPr="00000000">
          <w:rPr>
            <w:color w:val="1155cc"/>
            <w:sz w:val="20"/>
            <w:szCs w:val="20"/>
            <w:u w:val="single"/>
            <w:rtl w:val="0"/>
          </w:rPr>
          <w:t xml:space="preserve">doresgrechi@gmail.com</w:t>
        </w:r>
      </w:hyperlink>
      <w:r w:rsidDel="00000000" w:rsidR="00000000" w:rsidRPr="00000000">
        <w:rPr>
          <w:sz w:val="20"/>
          <w:szCs w:val="20"/>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09">
      <w:pPr>
        <w:widowControl w:val="1"/>
        <w:jc w:val="both"/>
        <w:rPr>
          <w:sz w:val="20"/>
          <w:szCs w:val="20"/>
        </w:rPr>
      </w:pPr>
      <w:r w:rsidDel="00000000" w:rsidR="00000000" w:rsidRPr="00000000">
        <w:rPr>
          <w:sz w:val="20"/>
          <w:szCs w:val="20"/>
          <w:rtl w:val="0"/>
        </w:rPr>
        <w:t xml:space="preserve">O enfoque cada vez maior sobre a importância de experiências turísticas mais autênticas que gerem bem estar e transformação para quem visita, mas também, para quem recebe, tem estimulado discussões e construções de produtos turísticos para além do convencional. As mudanças provocadas pela popularização da internet, do </w:t>
      </w:r>
      <w:r w:rsidDel="00000000" w:rsidR="00000000" w:rsidRPr="00000000">
        <w:rPr>
          <w:i w:val="1"/>
          <w:sz w:val="20"/>
          <w:szCs w:val="20"/>
          <w:rtl w:val="0"/>
        </w:rPr>
        <w:t xml:space="preserve">smartphone</w:t>
      </w:r>
      <w:r w:rsidDel="00000000" w:rsidR="00000000" w:rsidRPr="00000000">
        <w:rPr>
          <w:sz w:val="20"/>
          <w:szCs w:val="20"/>
          <w:rtl w:val="0"/>
        </w:rPr>
        <w:t xml:space="preserve"> e o surgimento da economia compartilhada promoveram mudanças no mercado turístico, viabilizando hospedagens e entretenimento para além do modelo dos hotéis tradicionais e dos grandes centros urbanos. Ao mesmo tempo, o excesso de conexões virtuais tem levado uma parte dos consumidores a buscarem trocas sociais reais, que promovam maior contato com a natureza e com comunidades tradicionais. Sendo assim, a pesquisa em tela propõe compreender a relação teórico-empírica das práticas de hospitalidade no turismo realizado em comunidades tradicionais e verificar a aplicação destes conceitos a partir de categorias identificadas.</w:t>
      </w:r>
      <w:r w:rsidDel="00000000" w:rsidR="00000000" w:rsidRPr="00000000">
        <w:rPr>
          <w:sz w:val="24"/>
          <w:szCs w:val="24"/>
          <w:rtl w:val="0"/>
        </w:rPr>
        <w:t xml:space="preserve"> </w:t>
      </w:r>
      <w:r w:rsidDel="00000000" w:rsidR="00000000" w:rsidRPr="00000000">
        <w:rPr>
          <w:sz w:val="20"/>
          <w:szCs w:val="20"/>
          <w:rtl w:val="0"/>
        </w:rPr>
        <w:t xml:space="preserve">O estudo usou de abordagem exploratória, de caráter qualitativo e o levantamento de material foi realizado no Portal de Periódicos da CAPES, especificamente nas bases da </w:t>
      </w:r>
      <w:r w:rsidDel="00000000" w:rsidR="00000000" w:rsidRPr="00000000">
        <w:rPr>
          <w:i w:val="1"/>
          <w:sz w:val="20"/>
          <w:szCs w:val="20"/>
          <w:rtl w:val="0"/>
        </w:rPr>
        <w:t xml:space="preserve">Web of Science e Scielo</w:t>
      </w:r>
      <w:r w:rsidDel="00000000" w:rsidR="00000000" w:rsidRPr="00000000">
        <w:rPr>
          <w:sz w:val="20"/>
          <w:szCs w:val="20"/>
          <w:rtl w:val="0"/>
        </w:rPr>
        <w:t xml:space="preserve">, bem como, nos sites, Publicações de Turismo e Google Acadêmico. Para a busca nas plataformas de pesquisa, foram utilizados os seguintes filtros: artigos que contivessem as palavras hospitalidade e comunidades tradicionais em seus títulos, resumos e palavras chaves, nos idiomas em língua portuguesa, inglesa e espanhola.</w:t>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Através de uma análise detalhada, tanto teórica quanto empírica, foi possível identificar categorias comuns de hospitalidade que perpassam culturas e territórios distintos, demonstrando a universalidade deste valor intrínseco à condição humana. Além disso, notou-se nas categorias de hospitalidade em comunidades e povos tradicionais a comensalidade, a coletividade, a recepção, o encontro, a interpretação e a mutualidade, que representam um modo único de troca social e, até mesmo, econômica. Deste modo, as comunidades tradicionais, com suas práticas de hospitalidade, oferecem uma visão das interações sociais baseadas na coletividade, no acolhimento genuíno e na reciprocidade. Em suma, o turismo em comunidades tradicionais é uma alternativa promissora para o desenvolvimento sustentável e para a valorização e preservação da cultura e identidade local. Nesse viés, a hospitalidade autêntica praticada pelas comunidades tradicionais é um diferencial importante para o sucesso desse tipo de turismo, pois ela funciona como um vínculo que aproxima as pessoas, reforça laços comunitários e promove a cultura de acolhimento. Ademais, a</w:t>
      </w:r>
      <w:r w:rsidDel="00000000" w:rsidR="00000000" w:rsidRPr="00000000">
        <w:rPr>
          <w:rFonts w:ascii="Arial" w:cs="Arial" w:eastAsia="Arial" w:hAnsi="Arial"/>
          <w:sz w:val="24"/>
          <w:szCs w:val="24"/>
          <w:rtl w:val="0"/>
        </w:rPr>
        <w:t xml:space="preserve"> </w:t>
      </w:r>
      <w:r w:rsidDel="00000000" w:rsidR="00000000" w:rsidRPr="00000000">
        <w:rPr>
          <w:sz w:val="20"/>
          <w:szCs w:val="20"/>
          <w:rtl w:val="0"/>
        </w:rPr>
        <w:t xml:space="preserve">hospitalidade com identidade de uma comunidade tradicional é a chave para que o turista tenha boas experiências e para que o local tenha impactos turísticos positivos decorrentes das visitações.</w:t>
      </w:r>
    </w:p>
    <w:p w:rsidR="00000000" w:rsidDel="00000000" w:rsidP="00000000" w:rsidRDefault="00000000" w:rsidRPr="00000000" w14:paraId="0000000A">
      <w:pPr>
        <w:widowControl w:val="1"/>
        <w:jc w:val="both"/>
        <w:rPr>
          <w:sz w:val="20"/>
          <w:szCs w:val="20"/>
        </w:rPr>
      </w:pPr>
      <w:r w:rsidDel="00000000" w:rsidR="00000000" w:rsidRPr="00000000">
        <w:rPr>
          <w:rtl w:val="0"/>
        </w:rPr>
      </w:r>
    </w:p>
    <w:p w:rsidR="00000000" w:rsidDel="00000000" w:rsidP="00000000" w:rsidRDefault="00000000" w:rsidRPr="00000000" w14:paraId="0000000B">
      <w:pPr>
        <w:widowControl w:val="1"/>
        <w:jc w:val="both"/>
        <w:rPr>
          <w:sz w:val="20"/>
          <w:szCs w:val="20"/>
        </w:rPr>
      </w:pPr>
      <w:r w:rsidDel="00000000" w:rsidR="00000000" w:rsidRPr="00000000">
        <w:rPr>
          <w:rtl w:val="0"/>
        </w:rPr>
      </w:r>
    </w:p>
    <w:p w:rsidR="00000000" w:rsidDel="00000000" w:rsidP="00000000" w:rsidRDefault="00000000" w:rsidRPr="00000000" w14:paraId="0000000C">
      <w:pPr>
        <w:widowControl w:val="1"/>
        <w:jc w:val="both"/>
        <w:rPr>
          <w:color w:val="111111"/>
          <w:sz w:val="20"/>
          <w:szCs w:val="20"/>
        </w:rPr>
      </w:pPr>
      <w:r w:rsidDel="00000000" w:rsidR="00000000" w:rsidRPr="00000000">
        <w:rPr>
          <w:rtl w:val="0"/>
        </w:rPr>
      </w:r>
    </w:p>
    <w:p w:rsidR="00000000" w:rsidDel="00000000" w:rsidP="00000000" w:rsidRDefault="00000000" w:rsidRPr="00000000" w14:paraId="0000000D">
      <w:pPr>
        <w:spacing w:after="283" w:before="0"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Acolhimento, identidade, cultura.</w:t>
      </w:r>
    </w:p>
    <w:p w:rsidR="00000000" w:rsidDel="00000000" w:rsidP="00000000" w:rsidRDefault="00000000" w:rsidRPr="00000000" w14:paraId="0000000E">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O presente trabalho foi realizado com apoio da UEMS, Programa Institucional de Iniciação Científica – PIC/UEMS.</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9782810</wp:posOffset>
          </wp:positionV>
          <wp:extent cx="1605915" cy="453390"/>
          <wp:effectExtent b="0" l="0" r="0" t="0"/>
          <wp:wrapSquare wrapText="bothSides" distB="0" distT="0" distL="114300" distR="11430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9782810</wp:posOffset>
          </wp:positionV>
          <wp:extent cx="1605915" cy="45339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1" name="image1.png"/>
          <a:graphic>
            <a:graphicData uri="http://schemas.openxmlformats.org/drawingml/2006/picture">
              <pic:pic>
                <pic:nvPicPr>
                  <pic:cNvPr id="0" name="image1.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134" w:lineRule="auto"/>
      <w:ind w:left="102" w:firstLine="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9" w:lineRule="auto"/>
      <w:ind w:left="411" w:right="429" w:firstLine="0"/>
      <w:jc w:val="center"/>
    </w:pPr>
    <w:rPr>
      <w:rFonts w:ascii="Calibri" w:cs="Calibri" w:eastAsia="Calibri" w:hAnsi="Calibri"/>
      <w:b w:val="1"/>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ar-SA" w:eastAsia="en-US" w:val="pt-PT"/>
    </w:rPr>
  </w:style>
  <w:style w:type="paragraph" w:styleId="Ttulo1">
    <w:name w:val="Heading 1"/>
    <w:basedOn w:val="Normal"/>
    <w:uiPriority w:val="1"/>
    <w:qFormat w:val="1"/>
    <w:pPr>
      <w:spacing w:after="0" w:before="134"/>
      <w:ind w:left="102" w:hanging="0"/>
      <w:outlineLvl w:val="0"/>
    </w:pPr>
    <w:rPr>
      <w:b w:val="1"/>
      <w:bCs w:val="1"/>
      <w:sz w:val="24"/>
      <w:szCs w:val="24"/>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basedOn w:val="DefaultParagraphFont"/>
    <w:link w:val="BalloonText"/>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DefaultParagraphFont"/>
    <w:uiPriority w:val="99"/>
    <w:qFormat w:val="1"/>
    <w:rsid w:val="00B67667"/>
    <w:rPr>
      <w:rFonts w:ascii="Times New Roman" w:cs="Times New Roman" w:eastAsia="Times New Roman" w:hAnsi="Times New Roman"/>
      <w:lang w:val="pt-PT"/>
    </w:rPr>
  </w:style>
  <w:style w:type="character" w:styleId="RodapChar" w:customStyle="1">
    <w:name w:val="Rodapé Char"/>
    <w:basedOn w:val="DefaultParagraphFont"/>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DefaultParagraphFont"/>
    <w:uiPriority w:val="99"/>
    <w:unhideWhenUsed w:val="1"/>
    <w:rsid w:val="009C4BED"/>
    <w:rPr>
      <w:color w:val="0000ff" w:themeColor="hyperlink"/>
      <w:u w:val="single"/>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uiPriority w:val="1"/>
    <w:qFormat w:val="1"/>
    <w:pPr/>
    <w:rPr>
      <w:sz w:val="24"/>
      <w:szCs w:val="24"/>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uiPriority w:val="1"/>
    <w:qFormat w:val="1"/>
    <w:pPr>
      <w:spacing w:after="0" w:before="19"/>
      <w:ind w:left="411" w:right="429" w:hanging="0"/>
      <w:jc w:val="center"/>
    </w:pPr>
    <w:rPr>
      <w:rFonts w:ascii="Calibri" w:cs="Calibri" w:eastAsia="Calibri" w:hAnsi="Calibri"/>
      <w:b w:val="1"/>
      <w:bCs w:val="1"/>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1"/>
    <w:qFormat w:val="1"/>
    <w:pPr/>
    <w:rPr/>
  </w:style>
  <w:style w:type="paragraph" w:styleId="TableParagraph" w:customStyle="1">
    <w:name w:val="Table Paragraph"/>
    <w:basedOn w:val="Normal"/>
    <w:uiPriority w:val="1"/>
    <w:qFormat w:val="1"/>
    <w:pPr/>
    <w:rPr/>
  </w:style>
  <w:style w:type="paragraph" w:styleId="BalloonText">
    <w:name w:val="Balloon Text"/>
    <w:basedOn w:val="Normal"/>
    <w:link w:val="TextodebaloChar"/>
    <w:uiPriority w:val="99"/>
    <w:semiHidden w:val="1"/>
    <w:unhideWhenUsed w:val="1"/>
    <w:qFormat w:val="1"/>
    <w:rsid w:val="00DD5B38"/>
    <w:pPr/>
    <w:rPr>
      <w:rFonts w:ascii="Tahoma" w:cs="Tahoma" w:hAnsi="Tahoma"/>
      <w:sz w:val="16"/>
      <w:szCs w:val="16"/>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B67667"/>
    <w:pPr>
      <w:tabs>
        <w:tab w:val="clear" w:pos="720"/>
        <w:tab w:val="center" w:leader="none" w:pos="4252"/>
        <w:tab w:val="right" w:leader="none" w:pos="8504"/>
      </w:tabs>
    </w:pPr>
    <w:rPr/>
  </w:style>
  <w:style w:type="paragraph" w:styleId="Rodap">
    <w:name w:val="Footer"/>
    <w:basedOn w:val="Normal"/>
    <w:link w:val="RodapChar"/>
    <w:uiPriority w:val="99"/>
    <w:unhideWhenUsed w:val="1"/>
    <w:rsid w:val="00B6766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oresgrechi@gmail.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ancarmybarbosa@gmail.com" TargetMode="External"/><Relationship Id="rId8" Type="http://schemas.openxmlformats.org/officeDocument/2006/relationships/hyperlink" Target="mailto:biancarmybarbos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hhjXCedDoIPSr+b3eQIibG6xA==">CgMxLjA4AHIhMVdnQVdHNUJ5N2JVa0QwZW5sYWQteWxaNW5obkNGUEp1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