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before="137"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d0d0d"/>
          <w:sz w:val="20"/>
          <w:szCs w:val="20"/>
          <w:highlight w:val="white"/>
          <w:rtl w:val="0"/>
        </w:rPr>
        <w:t xml:space="preserve">AS IMPLICAÇÕES JURÍDICAS DO FAST FASHION NA EXPLORAÇÃO LABORAL</w:t>
      </w:r>
      <w:r w:rsidDel="00000000" w:rsidR="00000000" w:rsidRPr="00000000">
        <w:rPr>
          <w:rtl w:val="0"/>
        </w:rPr>
      </w:r>
    </w:p>
    <w:p w:rsidR="00000000" w:rsidDel="00000000" w:rsidP="00000000" w:rsidRDefault="00000000" w:rsidRPr="00000000" w14:paraId="00000002">
      <w:pPr>
        <w:widowControl w:val="0"/>
        <w:spacing w:before="137"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Instituição: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Universidade Estadual de Mato Grosso do Sul </w:t>
      </w:r>
    </w:p>
    <w:p w:rsidR="00000000" w:rsidDel="00000000" w:rsidP="00000000" w:rsidRDefault="00000000" w:rsidRPr="00000000" w14:paraId="00000003">
      <w:pPr>
        <w:widowControl w:val="0"/>
        <w:spacing w:before="137"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Área Temática:</w:t>
      </w:r>
      <w:r w:rsidDel="00000000" w:rsidR="00000000" w:rsidRPr="00000000">
        <w:rPr>
          <w:rFonts w:ascii="Times New Roman" w:cs="Times New Roman" w:eastAsia="Times New Roman" w:hAnsi="Times New Roman"/>
          <w:sz w:val="20"/>
          <w:szCs w:val="20"/>
          <w:rtl w:val="0"/>
        </w:rPr>
        <w:t xml:space="preserve"> Ciências Sociais Aplicadas/ Direito/ Direito Especiais</w:t>
      </w:r>
    </w:p>
    <w:p w:rsidR="00000000" w:rsidDel="00000000" w:rsidP="00000000" w:rsidRDefault="00000000" w:rsidRPr="00000000" w14:paraId="00000004">
      <w:pPr>
        <w:widowControl w:val="0"/>
        <w:spacing w:before="137"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Baldin, Lara Vivian</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5">
      <w:pPr>
        <w:widowControl w:val="0"/>
        <w:spacing w:before="137"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Ferreira, Gabriel Luis Bonora Vidrih</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06">
      <w:pPr>
        <w:widowControl w:val="0"/>
        <w:shd w:fill="ffffff" w:val="clea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À luz da legislação brasileira, o artigo 149 do Código Penal preconiza os elementos que caracterizam a redução de um ser humano à condição análoga à de escravo. São elas: </w:t>
      </w:r>
      <w:r w:rsidDel="00000000" w:rsidR="00000000" w:rsidRPr="00000000">
        <w:rPr>
          <w:rFonts w:ascii="Times New Roman" w:cs="Times New Roman" w:eastAsia="Times New Roman" w:hAnsi="Times New Roman"/>
          <w:sz w:val="20"/>
          <w:szCs w:val="20"/>
          <w:highlight w:val="white"/>
          <w:rtl w:val="0"/>
        </w:rPr>
        <w:t xml:space="preserve">a submissão a trabalhos forçados ou a jornadas exaustivas, a sujeição a condições degradantes de trabalho e a restrição de locomoção do trabalhador. Deste modo, é perceptível que a escravidão contemporânea não possui os mesmos aspectos que caracterizavam o ato até 1888, todavia, perpetua-se de forma velada, através da ausência de vínculo empregatício e seguridade social, sem </w:t>
      </w:r>
      <w:r w:rsidDel="00000000" w:rsidR="00000000" w:rsidRPr="00000000">
        <w:rPr>
          <w:rFonts w:ascii="Times New Roman" w:cs="Times New Roman" w:eastAsia="Times New Roman" w:hAnsi="Times New Roman"/>
          <w:sz w:val="20"/>
          <w:szCs w:val="20"/>
          <w:rtl w:val="0"/>
        </w:rPr>
        <w:t xml:space="preserve">condições mínimas de segurança e higiene, acrescido o trabalho forçado ou por dívida. Sob essa perspectiva, o estudo em voga se destinou a analisar a utilização de mão de obra análoga à escravidão na indústria têxtil, gerada, principalmente, pela terceirização da fabricação. Uma vez que ocorre esta prática, são contratadas oficinas que têm majoritariamente imigrantes como trabalhadores, por conseguinte, em busca de uma renda, os funcionários encontram-se em situações degradantes que caracterizam a exploração laboral. </w:t>
      </w:r>
      <w:r w:rsidDel="00000000" w:rsidR="00000000" w:rsidRPr="00000000">
        <w:rPr>
          <w:rFonts w:ascii="Times New Roman" w:cs="Times New Roman" w:eastAsia="Times New Roman" w:hAnsi="Times New Roman"/>
          <w:sz w:val="20"/>
          <w:szCs w:val="20"/>
          <w:highlight w:val="white"/>
          <w:rtl w:val="0"/>
        </w:rPr>
        <w:t xml:space="preserve">Ainda, insta destacar que a terceirização de serviços, que é regulamentada pela Lei 6.019/74, com modificações introduzidas pela Lei 13.429/17, todavia, permanece abrangente e sem restrições significativas, o que abre caminho para a precarização das condições de trabalho. Portanto, tal prática é a principal ferramenta utilizada por empresas do mercado fast fashion, haja vista que estimulam o consumo desenfreado por meio de preços baixos em grande volume, resultando em lucros substanciais. Ademais, contribui para uma competição desleal em relação às empresas que operam em conformidade com a legislação trabalhista, o que é conhecido como dumping social.</w:t>
      </w:r>
      <w:r w:rsidDel="00000000" w:rsidR="00000000" w:rsidRPr="00000000">
        <w:rPr>
          <w:rFonts w:ascii="Times New Roman" w:cs="Times New Roman" w:eastAsia="Times New Roman" w:hAnsi="Times New Roman"/>
          <w:sz w:val="20"/>
          <w:szCs w:val="20"/>
          <w:rtl w:val="0"/>
        </w:rPr>
        <w:t xml:space="preserve"> Considerando a realidade do Brasil, observa-se que</w:t>
      </w:r>
      <w:r w:rsidDel="00000000" w:rsidR="00000000" w:rsidRPr="00000000">
        <w:rPr>
          <w:rFonts w:ascii="Times New Roman" w:cs="Times New Roman" w:eastAsia="Times New Roman" w:hAnsi="Times New Roman"/>
          <w:sz w:val="20"/>
          <w:szCs w:val="20"/>
          <w:rtl w:val="0"/>
        </w:rPr>
        <w:t xml:space="preserve"> o período de 1995 a 2021, cerca de 657 indivíduos foram submetidos à escravidão no setor têxtil, com a maioria desses casos ocorrendo em zonas urbanas. De acordo com informações provenientes do Ministério do Trabalho e Previdência, que foram compiladas pela Comissão Pastoral da Terra, constata-se que, das 55 operações de combate a essa prática realizadas nesse setor,  41 delas tiveram lugar na cidade de São Paulo. Nesse sentido, em 2017, uma operação dos fiscais do Ministério do Trabalho e Emprego (MTE) flagrou a prática de trabalho escravo em oficinas que produziam peças para a marca de moda Animale. A ação revelou condições degradantes em que os trabalhadores eram submetidos, evidenciando um problema persistente na cadeia produtiva da moda no Brasil. As fiscalizações ocorreram em São Paulo, onde os trabalhadores, em sua maioria imigrantes bolivianos, eram submetidos a jornadas exaustivas, morando nos próprios locais de trabalho, sem condições mínimas de higiene e segurança. Além disso, os trabalhadores recebiam salários abaixo do mínimo estipulado pela legislação, com jornadas de mais de 12 horas diárias, sem direito a descanso semanal ou férias. Ante ao exposto, pode-se considerar a capital paulista como o coração do nosso país devido à sua riqueza cultural e diversidade. No entanto, sob essa superfície metropolitana, permanece oculta uma realidade na qual trabalhadores têm sua mão de obra explorada por empresas que priorizam o lucro em detrimento do bem-estar humano.</w:t>
      </w:r>
    </w:p>
    <w:p w:rsidR="00000000" w:rsidDel="00000000" w:rsidP="00000000" w:rsidRDefault="00000000" w:rsidRPr="00000000" w14:paraId="00000007">
      <w:pPr>
        <w:widowControl w:val="0"/>
        <w:spacing w:before="137"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PALAVRAS-CHAVE: </w:t>
      </w:r>
      <w:r w:rsidDel="00000000" w:rsidR="00000000" w:rsidRPr="00000000">
        <w:rPr>
          <w:rFonts w:ascii="Times New Roman" w:cs="Times New Roman" w:eastAsia="Times New Roman" w:hAnsi="Times New Roman"/>
          <w:sz w:val="20"/>
          <w:szCs w:val="20"/>
          <w:rtl w:val="0"/>
        </w:rPr>
        <w:t xml:space="preserve">Escravidão Contemporânea; Fashion Law; São Paulo.</w:t>
      </w:r>
      <w:r w:rsidDel="00000000" w:rsidR="00000000" w:rsidRPr="00000000">
        <w:rPr>
          <w:rtl w:val="0"/>
        </w:rPr>
      </w:r>
    </w:p>
    <w:p w:rsidR="00000000" w:rsidDel="00000000" w:rsidP="00000000" w:rsidRDefault="00000000" w:rsidRPr="00000000" w14:paraId="00000008">
      <w:pPr>
        <w:widowControl w:val="0"/>
        <w:spacing w:before="137"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AGRADECIMENTO:</w:t>
      </w:r>
      <w:r w:rsidDel="00000000" w:rsidR="00000000" w:rsidRPr="00000000">
        <w:rPr>
          <w:rFonts w:ascii="Times New Roman" w:cs="Times New Roman" w:eastAsia="Times New Roman" w:hAnsi="Times New Roman"/>
          <w:sz w:val="20"/>
          <w:szCs w:val="20"/>
          <w:rtl w:val="0"/>
        </w:rPr>
        <w:t xml:space="preserve"> Expresso minha gratidão à Universidade Estadual de Mato Grosso do Sul, que através do Programa Institucional de Bolsas de Iniciação Científica, fomenta o estímulo à pesquisa e expansão do conhecimento de seus discentes.</w:t>
      </w:r>
    </w:p>
    <w:p w:rsidR="00000000" w:rsidDel="00000000" w:rsidP="00000000" w:rsidRDefault="00000000" w:rsidRPr="00000000" w14:paraId="00000009">
      <w:pPr>
        <w:widowControl w:val="0"/>
        <w:shd w:fill="ffffff" w:val="clea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D">
    <w:pPr>
      <w:jc w:val="center"/>
      <w:rPr/>
    </w:pPr>
    <w:r w:rsidDel="00000000" w:rsidR="00000000" w:rsidRPr="00000000">
      <w:rPr/>
      <w:drawing>
        <wp:inline distB="114300" distT="114300" distL="114300" distR="114300">
          <wp:extent cx="1421167" cy="40368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21167" cy="403687"/>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890588" cy="630262"/>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90588" cy="630262"/>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Acadêmica</w:t>
      </w:r>
    </w:p>
  </w:footnote>
  <w:footnote w:id="1">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Orientador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A">
    <w:pPr>
      <w:jc w:val="center"/>
      <w:rPr/>
    </w:pPr>
    <w:r w:rsidDel="00000000" w:rsidR="00000000" w:rsidRPr="00000000">
      <w:rPr/>
      <w:drawing>
        <wp:inline distB="114300" distT="114300" distL="114300" distR="114300">
          <wp:extent cx="5400675" cy="676275"/>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00675" cy="676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