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83"/>
        <w:jc w:val="center"/>
        <w:rPr/>
      </w:pPr>
      <w:r>
        <w:rPr>
          <w:b/>
          <w:sz w:val="20"/>
          <w:szCs w:val="20"/>
        </w:rPr>
        <w:t xml:space="preserve">Descaracterização da Alienação Fiduciária de Bem Imóvel conforme Projeto de Lei n. 4.188/2021 </w:t>
      </w:r>
    </w:p>
    <w:p>
      <w:pPr>
        <w:pStyle w:val="Normal"/>
        <w:spacing w:lineRule="auto" w:line="240" w:before="0" w:after="283"/>
        <w:jc w:val="both"/>
        <w:rPr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do Mato Grosso do Sul</w:t>
      </w:r>
    </w:p>
    <w:p>
      <w:pPr>
        <w:pStyle w:val="Normal"/>
        <w:spacing w:lineRule="auto" w:line="240" w:before="0" w:after="283"/>
        <w:jc w:val="both"/>
        <w:rPr/>
      </w:pPr>
      <w:r>
        <w:rPr>
          <w:b/>
          <w:sz w:val="20"/>
          <w:szCs w:val="20"/>
        </w:rPr>
        <w:t>Área temática: Ciências sociais aplicadas</w:t>
      </w:r>
    </w:p>
    <w:p>
      <w:pPr>
        <w:pStyle w:val="Normal"/>
        <w:pBdr/>
        <w:spacing w:lineRule="auto" w:line="240" w:before="0" w:after="283"/>
        <w:jc w:val="both"/>
        <w:rPr/>
      </w:pPr>
      <w:r>
        <w:rPr>
          <w:b/>
          <w:sz w:val="20"/>
          <w:szCs w:val="20"/>
        </w:rPr>
        <w:t>SOUZA TORRES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Tobias (04464872107@academicos.uems.br)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DALLA CORTE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Thaís</w:t>
      </w:r>
      <w:r>
        <w:rPr>
          <w:color w:val="000000"/>
          <w:sz w:val="20"/>
          <w:szCs w:val="20"/>
        </w:rPr>
        <w:t xml:space="preserve"> (thais.corte@uems.br)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;</w:t>
      </w:r>
    </w:p>
    <w:p>
      <w:pPr>
        <w:pStyle w:val="Normal"/>
        <w:pBdr/>
        <w:spacing w:lineRule="auto" w:line="240"/>
        <w:jc w:val="both"/>
        <w:rPr/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A</w:t>
      </w:r>
      <w:r>
        <w:rPr>
          <w:sz w:val="20"/>
          <w:szCs w:val="20"/>
        </w:rPr>
        <w:t>luno da quarta série do Curso de Direito da UEMS da unidade de Naviraí e bolsista PIBIC/PROPPI/UEMS;</w:t>
      </w:r>
    </w:p>
    <w:p>
      <w:pPr>
        <w:pStyle w:val="Normal"/>
        <w:pBdr/>
        <w:spacing w:lineRule="auto" w:line="240"/>
        <w:jc w:val="both"/>
        <w:rPr/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Professora Adjunta do Curso de Direito da UEMS da unidade de Naviraí. </w:t>
      </w:r>
    </w:p>
    <w:p>
      <w:pPr>
        <w:pStyle w:val="Normal"/>
        <w:pBdr/>
        <w:spacing w:lineRule="auto" w:line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240" w:before="0" w:after="283"/>
        <w:jc w:val="both"/>
        <w:rPr/>
      </w:pPr>
      <w:r>
        <w:rPr>
          <w:sz w:val="20"/>
          <w:szCs w:val="20"/>
        </w:rPr>
        <w:t>Em 2023, foi sancionada a Lei n. 14.711/2023, visando o aprimoramento do sistema de garantias, tendo em vista a compreensão que a ausência de garantias reais robustas, impedem  maior concessão de empréstimos, o que impacta nos juros e consequentemente eleva preços de modo geral. Neste sentido, significativas alterações incidiram sobre a alienação fiduciária de bem imóvel, com destaque a superação do impedimento de sucessivas garantias em relação ao mesmo imóvel. Em momento de aquecimento da economia e, reflexamente, maior oferta de crédito, sobretudo imobiliário, é pertinente a discussão sobre a prudência da flexibilização de mecanismos garantidores. Nesse sentido, convém ressaltar que facilitação do crédito sem correspondente educação financeira, resulta em dívidas e, por vezes, graves danos ao bem-estar do devedor e, se houver, de seu núcleo familiar. Pesquisas de Endividamento indicam aumentos sucessivos no endividamento familiar. Nesse contexto, surge a questão: Alterações na alienação fiduciária de bem imóvel representam uma descaracterização do instituto, especialmente se considerado o contexto de endividamento dos brasileiros? O objetivo geral desta pesquisa foi apontar potenciais riscos decorrentes das inovações legislativas em matéria fiduciária para os mais vulneráveis socioeconomicamente. Para atingir o objetivo, foram definidos os seguintes objetivos específicos: a) Explicar a relação entre crédito/garantia com princípios de  dignidade das pessoas humanas; b) Compreender o impacto das alterações legislativas no contexto do endividamento das famílias brasileiras; c) Analisar a configuração da alienação fiduciária de bens imóveis antes das alterações e comparar com a atualidade, destacando as principais mudanças e seus efeitos sobre a segurança jurídica. Como resultados, observou-se que a relação entre crédito e garantia é essencial para a concessão de financiamentos, uma vez que a constrição do bem serve como segurança para o credor e possibilita ao devedor o acesso a taxas de juros acessíveis. Quando essa dinâmica é alterada, princípios fundamentais de dignidade são ameaçados. Dessa forma, o ordenamento jurídico deve assegurar mecanismos que previnam abusos e que garantam que o crédito não seja um instrumento de vulnerabilização social. As alterações legislativas simplificaram o processo de execução da garantia, promovendo celeridade na recuperação do crédito. Entretanto, essas mudanças podem ter impacto sobre os vulneráveis, já que a facilidade de execução pode levar a um aumento no risco de perda de bens imóveis. Embora a flexibilização dinamize o mercado, também requer uma análise cuidadosa sobre a capacidade de pagamento. As alterações legislativas incluíram a redução dos prazos executórios e a possibilidade de retomada mais rápida do imóvel, o que comprome  direitos fundamentais do devedor. Ainda, ao estabelecer condição suspensiva para a eficácia das subalienações fiduciárias, o legislador foi incapaz de solucionar as situações de capital subaproveitado. Também, mudanças no rito da execução extrajudicial acarretam a possibilidade de aumento da litigiosidade judicial. Faltam regras claras para evitar conflitos futuros envolvendo casos de inadimplência em que houver partes vulneráveis que tenham sua dignidade e seus direitos sobre o imóvel comprometidos. Por fim, concluiu-se que  promessas de crédito facilitado, oferecida sem embasamento na capacidade de pagamento e planejamento, apenas definida pela garantia, pode representar a perda de bens.</w:t>
      </w:r>
    </w:p>
    <w:p>
      <w:pPr>
        <w:pStyle w:val="Normal"/>
        <w:spacing w:lineRule="auto" w:line="240" w:before="0" w:after="283"/>
        <w:jc w:val="both"/>
        <w:rPr/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Alienação Fiduciária; Endividamento; Crédito Responsável.</w:t>
      </w:r>
    </w:p>
    <w:p>
      <w:pPr>
        <w:pStyle w:val="Normal"/>
        <w:spacing w:lineRule="auto" w:line="240"/>
        <w:jc w:val="both"/>
        <w:rPr/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Agradeço à minha orientadora, à UEMS e à PROPPI pelo apoio recebido.</w:t>
      </w:r>
    </w:p>
    <w:p>
      <w:pPr>
        <w:pStyle w:val="Normal"/>
        <w:spacing w:lineRule="auto" w:line="24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6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pt-PT" w:bidi="ar-SA"/>
    </w:rPr>
  </w:style>
  <w:style w:type="paragraph" w:styleId="Ttulo1">
    <w:name w:val="Heading 1"/>
    <w:basedOn w:val="Normal"/>
    <w:uiPriority w:val="9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UB1A4E845J4oR1FWnyIBIyksJg==">CgMxLjA4AHIhMWRjSnNBbktGeEx4VjNRMEpSQ29jbjFES3lZOG9JOU5Y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LibreOffice/7.3.5.2$Windows_X86_64 LibreOffice_project/184fe81b8c8c30d8b5082578aee2fed2ea847c01</Application>
  <AppVersion>15.0000</AppVersion>
  <Pages>1</Pages>
  <Words>584</Words>
  <Characters>3565</Characters>
  <CharactersWithSpaces>4148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2024-08-09T14:12:00Z</dcterms:created>
  <dc:creator>Usuário do Windows</dc:creator>
  <dc:description/>
  <dc:language>pt-BR</dc:language>
  <cp:lastModifiedBy/>
  <dcterms:modified xsi:type="dcterms:W3CDTF">2024-08-19T08:20:07Z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