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AVALIAÇÃO REPRODUTIVA DE FÊMEAS NELORES PRECOCES CONFINADAS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Ciências Agrárias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Thais Ferreira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thaislimas004046@icloud.com)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SANTOS,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Caroliny Silva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carolsantos812@gmail.com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);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PEDRO,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Felipe de Oliveira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felipedro2301@gmail.com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BAIACUE, Juan Sebastian Fuentes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juan.fuentes.baicue@unillanos.edu.co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SOUZA,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Andréa Roberto Duarte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andrea.souza@uems.br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MELO-STERZA,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Fabiana Andrade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fabiana.sterza@uems.br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na Universidade Estadual de Mato Grosso do Sul;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na Universidade Estadual de Mato Grosso do Sul;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Programa de Pós graduação em Zootecnia da UEMS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Discente na Universidade Unillanos, Colômbia;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Docente na Universidade Estadual de Mato Grosso do Sul;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 na Universidade Estadual de Mato Grosso do Sul.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 idade à puberdade é uma variável de suma importância para a eficiência reprodutiva na bovinocultura, visto que, pode antecipar ou retardar a primeira concepção. Assim, a identificação de novilhas que alcançaram a ciclicidade é fundamental para assegurar a concepção precoce. Diante disso, objetivou-se com este estudo avaliar o uso de indicadores reprodutivos em novilhas Nelore precoces confinadas. O experimento foi realizado na fazenda São Judas Tadeu no município de Anastácio MS e contou com 60 novilhas divididas aleatoriamente em três grupos inteiramente casualizados, considerando o animal como unidade experimental, sendo: S0,5% (N =20), S1,0% (N = 20) e STP (N =20). A suplementação STP ( Stair-step) consistiu de aumentos graduais da oferta, sendo: 0,07%  , 0,15% 0,3% d, 0,5%  e,0% e 1,5% do peso vivo (PV). A suplementação dos grupos S0,5% e S1,0% consistiu da oferta de 0,5% do PV e 1,0% do PV, respectivamente, de concentrado. As novilhas foram submetidas ao protocolo de indução de ciclicidade (D-24 e D-12) seguido de um único protocolo de Inseminação Artificial em Tempo Fixo (IATF) de três manejos (D0, D7, D9). No D-24 foi inserido o Estrotect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região sacro-caudal, com o objetivo de identificar as novilhas que apresentaram cio no período de 24 dias anteriores ao início do protocolo de IATF. Os indicadores reprodutivos utilizados foram: identificação de cio (por meio do adesivo Estrotect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e presença do folículo dominante aferido por ultrassonografia transretal no D0 (PFD). O escore de limpeza do estrotect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foi definido em dois graus (1 = limpo e 0 não limpo) e o Folículo dominante (&gt;8mm) foi classificado quanto a sua presença ou ausência. Os dados obtidos foram submetidos à análise estatística no programa SAS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por meio dos testes glimmix e proccorr para correlação entre as variáveis, considerando o alfa de 5% de significância. Foi considerado no modelo o tratamento, bem como, a taxa de prenhez por IA. As taxas de prenhez foram 53% para o grupo STP, 40 % para o grupo S0,5 e 47% para o grupo S1,0. O grupo STP apresentou maior manifestação de cio (75%, 15/20) comparado aos demais S0,5 (35%, 7/20) e S1,0 (30%, 6/20) (p&lt;0,05). Na variável PFD os grupos não diferiram entre si, sendo de 68,7% (11/16) para o grupo STP, 70% (14/20) para o grupo S0,5 e 82% (14/17) para o grupo S1,0. Contudo foi observada uma correlação positiva moderada (0,43) com a taxa de prenhez (p&lt;0,05). Com base nos resultados obtidos, conclui-se que a ferramenta estrotect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foi eficiente na identificação de manifestação de cio das fêmeas nas condições deste estudo. Ademais, a correlação positiva moderada entre a presença de folículo dominante no D0 e a taxa de prenhez reforça a importância desse indicador reprodutivo. Portanto, o uso dos indicadores reprodutivos avaliados é uma boa alternativa visando a tecnificação de produção bovina.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CICLICIDADE, NUTRIÇÃO, ULTRASSONOGRAFIA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 Universade Estadual de Mato Grosso do Sul pelo fomento da bolsa, ao proprietário e funcionários da Fazenda STJ e ao grupo de estudos Gentra.</w:t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11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1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161290</wp:posOffset>
          </wp:positionV>
          <wp:extent cx="6048375" cy="676275"/>
          <wp:effectExtent b="0" l="0" r="0" t="0"/>
          <wp:wrapSquare wrapText="bothSides" distB="0" distT="0" distL="114300" distR="114300"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8375" cy="676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727D89"/>
    <w:pPr>
      <w:suppressAutoHyphens w:val="0"/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 w:val="1"/>
    <w:rsid w:val="007D00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D009F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F00454"/>
    <w:pPr>
      <w:suppressAutoHyphens w:val="0"/>
    </w:pPr>
    <w:rPr>
      <w:rFonts w:ascii="Times New Roman" w:cs="Times New Roman" w:eastAsia="Times New Roman" w:hAnsi="Times New Roman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C72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C721C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C721C"/>
    <w:rPr>
      <w:rFonts w:ascii="Times New Roman" w:cs="Times New Roman" w:eastAsia="Times New Roman" w:hAnsi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C721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C721C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ndrea.souza@uems.br" TargetMode="External"/><Relationship Id="rId10" Type="http://schemas.openxmlformats.org/officeDocument/2006/relationships/hyperlink" Target="mailto:juan.fuentes.baicue@unillanos.edu.co" TargetMode="External"/><Relationship Id="rId13" Type="http://schemas.openxmlformats.org/officeDocument/2006/relationships/header" Target="header1.xml"/><Relationship Id="rId12" Type="http://schemas.openxmlformats.org/officeDocument/2006/relationships/hyperlink" Target="mailto:fabiana.sterza@uems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elipedro2301@gmail.com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mailto:carolsantos812@gmail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/HDGHgWE6qA5K8Wt+L6eLSuqzQ==">CgMxLjAyCGguZ2pkZ3hzMgloLjMwajB6bGw4AGpACjVzdWdnZXN0SWRJbXBvcnRkZDUwMThiMC04YTE2LTQ1Y2ItOGM5Ny04Zjk5N2Y2MTE4NjBfMRIHTWFybGVuZXIhMXJGTl9mbUNPajJTdS02SWxoVnZFQmxUWllUTlVZVmJ2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2024-08-18T22:38:00Z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