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center"/>
        <w:rPr>
          <w:b w:val="1"/>
          <w:sz w:val="20"/>
          <w:szCs w:val="20"/>
        </w:rPr>
      </w:pPr>
      <w:r w:rsidDel="00000000" w:rsidR="00000000" w:rsidRPr="00000000">
        <w:rPr>
          <w:b w:val="1"/>
          <w:sz w:val="20"/>
          <w:szCs w:val="20"/>
          <w:rtl w:val="0"/>
        </w:rPr>
        <w:t xml:space="preserve">TENDÊNCIAS TEMPORAIS E ANÁLISE DA INCIDÊNCIA DE SÍFILIS ADQUIRIDA NAS MICRORREGIÕES DE SAÚDE DE MATO GROSSO DO SUL</w:t>
      </w:r>
    </w:p>
    <w:p w:rsidR="00000000" w:rsidDel="00000000" w:rsidP="00000000" w:rsidRDefault="00000000" w:rsidRPr="00000000" w14:paraId="00000002">
      <w:pPr>
        <w:spacing w:after="283"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de Mato Grosso do Sul (UEMS)</w:t>
      </w:r>
      <w:r w:rsidDel="00000000" w:rsidR="00000000" w:rsidRPr="00000000">
        <w:rPr>
          <w:rtl w:val="0"/>
        </w:rPr>
      </w:r>
    </w:p>
    <w:p w:rsidR="00000000" w:rsidDel="00000000" w:rsidP="00000000" w:rsidRDefault="00000000" w:rsidRPr="00000000" w14:paraId="00000003">
      <w:pPr>
        <w:spacing w:after="283" w:lineRule="auto"/>
        <w:jc w:val="both"/>
        <w:rPr/>
      </w:pPr>
      <w:r w:rsidDel="00000000" w:rsidR="00000000" w:rsidRPr="00000000">
        <w:rPr>
          <w:b w:val="1"/>
          <w:sz w:val="20"/>
          <w:szCs w:val="20"/>
          <w:rtl w:val="0"/>
        </w:rPr>
        <w:t xml:space="preserve">Área temática: </w:t>
      </w:r>
      <w:r w:rsidDel="00000000" w:rsidR="00000000" w:rsidRPr="00000000">
        <w:rPr>
          <w:sz w:val="20"/>
          <w:szCs w:val="20"/>
          <w:rtl w:val="0"/>
        </w:rPr>
        <w:t xml:space="preserve">Ciências de Saúde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GRATÃO,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Luís Henrique Alves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03556224160@academicos.uems.br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ANTERO,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Leandro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leandro.antero@uems.br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Acadêmico de Medicina – Unidade Santo Amaro, Campo Grande, Universidade Estadual de Mato Grosso do Sul – UEMS;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Prof.  Adjunto do curso de Medicina e Psicologia - Unidade Santo Amaro, Campo Grande, Universidade Estadual de Mato Grosso do Sul – UEMS;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spacing w:after="283" w:lineRule="auto"/>
        <w:jc w:val="both"/>
        <w:rPr>
          <w:sz w:val="20"/>
          <w:szCs w:val="20"/>
        </w:rPr>
      </w:pPr>
      <w:r w:rsidDel="00000000" w:rsidR="00000000" w:rsidRPr="00000000">
        <w:rPr>
          <w:sz w:val="20"/>
          <w:szCs w:val="20"/>
          <w:rtl w:val="0"/>
        </w:rPr>
        <w:t xml:space="preserve">A Sífilis Adquirida (SA), uma infecção sexualmente transmissível (IST) causada pela bactéria </w:t>
      </w:r>
      <w:r w:rsidDel="00000000" w:rsidR="00000000" w:rsidRPr="00000000">
        <w:rPr>
          <w:i w:val="1"/>
          <w:sz w:val="20"/>
          <w:szCs w:val="20"/>
          <w:rtl w:val="0"/>
        </w:rPr>
        <w:t xml:space="preserve">Treponema pallidum</w:t>
      </w:r>
      <w:r w:rsidDel="00000000" w:rsidR="00000000" w:rsidRPr="00000000">
        <w:rPr>
          <w:sz w:val="20"/>
          <w:szCs w:val="20"/>
          <w:rtl w:val="0"/>
        </w:rPr>
        <w:t xml:space="preserve">, desafia a saúde pública destacando-se como uma das ISTs mais comuns. Em 2022, Mato Grosso do Sul (MS) registrou uma alta incidência de SA, com 103,7 casos por 100 mil habitantes. Analisar a tendência da incidência de SA de 2010 a 2021 nas Microrregiões de saúde de Mato Grosso do Sul. Estudo epidemiológico descritivo com análise de séries temporais, utilizando dados secundários do Sistema de Informação de Agravos de Notificação (SINAN) e do Instituto Brasileiro de Geografia e Estatística (IBGE). A construção da série temporal com as respectivas incidências (n° casos ao ano/população residente do município*100 mil), foi feita com o software </w:t>
      </w:r>
      <w:r w:rsidDel="00000000" w:rsidR="00000000" w:rsidRPr="00000000">
        <w:rPr>
          <w:i w:val="1"/>
          <w:sz w:val="20"/>
          <w:szCs w:val="20"/>
          <w:rtl w:val="0"/>
        </w:rPr>
        <w:t xml:space="preserve">JoinPoint Regression Program</w:t>
      </w:r>
      <w:r w:rsidDel="00000000" w:rsidR="00000000" w:rsidRPr="00000000">
        <w:rPr>
          <w:sz w:val="20"/>
          <w:szCs w:val="20"/>
          <w:rtl w:val="0"/>
        </w:rPr>
        <w:t xml:space="preserve">, que calcula a média da variação percentual no período estudado (AAPC), que considera valor negativo uma tendência decrescente e valor positivo uma tendência crescente. Os resultados revelaram um aumento crescente nos casos nas microrregiões de Aquidauana (AAPC 12,3%), Campo Grande (Costa Rica AAPC 26,8%, Maracaju AAPC 15,4%, São Gabriel do Oeste AAPC 11,6%, Sidrolândia AAPC 15,7%), Dourados (Dourados AAPC 14,2%, Fátima do Sul AAPC 14,7%), Jardim (Bonito AAPC 12,4%), Naviraí (Juti AAPC 6,4%, Naviraí AAPC 33,1%), Paranaíba (Chapadão do Sul AAPC 18,6%), Ponta Porã (Amambai AAPC 16,3%, Aral Moreira AAPC 14,7%, Tacuru AAPC 15,8%), e Três Lagoas (Bataguassu AAPC 8,9%, Santa Rita do Pardo AAPC 27,7%, Selvíria AAPC 10,5%). Esse aumento pode ser atribuído a ações de saúde eficazes, como mais testes rápidos, negligência dos serviços de saúde ou ausência de tratamento medicamentoso. Por outro lado, algumas áreas mostraram uma tendência decrescente, como Ribas do Rio Pardo (AAPC -12,1%), Coxim (AAPC -14,9%), Sonora (AAPC -21,5%), Eldorado (AAPC -10,2%), e Antônio João (AAPC -14,9%), possivelmente devido a políticas de prevenção e tratamento eficazes ou subnotificação de casos após 2020 devido à pandemia de COVID-19. </w:t>
      </w:r>
      <w:r w:rsidDel="00000000" w:rsidR="00000000" w:rsidRPr="00000000">
        <w:rPr>
          <w:b w:val="1"/>
          <w:sz w:val="20"/>
          <w:szCs w:val="20"/>
          <w:rtl w:val="0"/>
        </w:rPr>
        <w:t xml:space="preserve">Conclusão:</w:t>
      </w:r>
      <w:r w:rsidDel="00000000" w:rsidR="00000000" w:rsidRPr="00000000">
        <w:rPr>
          <w:sz w:val="20"/>
          <w:szCs w:val="20"/>
          <w:rtl w:val="0"/>
        </w:rPr>
        <w:t xml:space="preserve"> esses resultados fornecem um panorama temporal da SA nas Microrregiões de saúde de MS, destacando áreas prioritárias para políticas de promoção e prevenção das ISTs.</w:t>
      </w:r>
    </w:p>
    <w:p w:rsidR="00000000" w:rsidDel="00000000" w:rsidP="00000000" w:rsidRDefault="00000000" w:rsidRPr="00000000" w14:paraId="00000009">
      <w:pPr>
        <w:spacing w:after="283"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Sífilis Adquirida, Infecções Sexualmente Transmissíveis, Epidemiologia Descritiva, Análise de Séries Temporais.</w:t>
      </w:r>
    </w:p>
    <w:p w:rsidR="00000000" w:rsidDel="00000000" w:rsidP="00000000" w:rsidRDefault="00000000" w:rsidRPr="00000000" w14:paraId="0000000A">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Agradecimentos a Universidade Estadual de Mato Grosso do Sul (UEMS), que via Edital UEMS/CNPq Nº 03/2023 – PROPPI/UEMS – PIBIC deu apoio financeiro para a realização dessa Pesquisa.</w:t>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6" name="image2.png"/>
          <a:graphic>
            <a:graphicData uri="http://schemas.openxmlformats.org/drawingml/2006/picture">
              <pic:pic>
                <pic:nvPicPr>
                  <pic:cNvPr id="0" name="image2.png"/>
                  <pic:cNvPicPr preferRelativeResize="0"/>
                </pic:nvPicPr>
                <pic:blipFill>
                  <a:blip r:embed="rId4"/>
                  <a:srcRect b="21240" l="7824" r="6113"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4"/>
                  <a:srcRect b="21240" l="7824" r="6113" t="19717"/>
                  <a:stretch>
                    <a:fillRect/>
                  </a:stretch>
                </pic:blipFill>
                <pic:spPr>
                  <a:xfrm>
                    <a:off x="0" y="0"/>
                    <a:ext cx="994410" cy="481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Normal" w:default="1">
    <w:name w:val="Normal"/>
    <w:uiPriority w:val="1"/>
    <w:qFormat w:val="1"/>
    <w:pPr>
      <w:widowControl w:val="0"/>
    </w:pPr>
    <w:rPr>
      <w:rFonts w:ascii="Times New Roman" w:cs="Times New Roman" w:eastAsia="Times New Roman" w:hAnsi="Times New Roman"/>
      <w:lang w:val="pt-PT"/>
    </w:rPr>
  </w:style>
  <w:style w:type="paragraph" w:styleId="Ttulo1">
    <w:name w:val="heading 1"/>
    <w:basedOn w:val="Normal"/>
    <w:uiPriority w:val="1"/>
    <w:qFormat w:val="1"/>
    <w:pPr>
      <w:spacing w:before="134"/>
      <w:ind w:left="102"/>
      <w:outlineLvl w:val="0"/>
    </w:pPr>
    <w:rPr>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baloChar" w:customStyle="1">
    <w:name w:val="Texto de balão Char"/>
    <w:basedOn w:val="Fontepargpadro"/>
    <w:link w:val="Textodebalo"/>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Fontepargpadro"/>
    <w:link w:val="Cabealho"/>
    <w:uiPriority w:val="99"/>
    <w:qFormat w:val="1"/>
    <w:rsid w:val="00B67667"/>
    <w:rPr>
      <w:rFonts w:ascii="Times New Roman" w:cs="Times New Roman" w:eastAsia="Times New Roman" w:hAnsi="Times New Roman"/>
      <w:lang w:val="pt-PT"/>
    </w:rPr>
  </w:style>
  <w:style w:type="character" w:styleId="RodapChar" w:customStyle="1">
    <w:name w:val="Rodapé Char"/>
    <w:basedOn w:val="Fontepargpadro"/>
    <w:link w:val="Rodap"/>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Fontepargpadro"/>
    <w:uiPriority w:val="99"/>
    <w:unhideWhenUsed w:val="1"/>
    <w:rsid w:val="009C4BED"/>
    <w:rPr>
      <w:color w:val="0000ff" w:themeColor="hyperlink"/>
      <w:u w:val="single"/>
    </w:rPr>
  </w:style>
  <w:style w:type="paragraph" w:styleId="Ttulo">
    <w:name w:val="Title"/>
    <w:basedOn w:val="Normal"/>
    <w:next w:val="Corpodetexto"/>
    <w:uiPriority w:val="1"/>
    <w:qFormat w:val="1"/>
    <w:pPr>
      <w:spacing w:before="19"/>
      <w:ind w:left="411" w:right="429"/>
      <w:jc w:val="center"/>
    </w:pPr>
    <w:rPr>
      <w:rFonts w:ascii="Calibri" w:cs="Calibri" w:eastAsia="Calibri" w:hAnsi="Calibri"/>
      <w:b w:val="1"/>
      <w:bCs w:val="1"/>
      <w:sz w:val="28"/>
      <w:szCs w:val="28"/>
    </w:rPr>
  </w:style>
  <w:style w:type="paragraph" w:styleId="Corpodetexto">
    <w:name w:val="Body Text"/>
    <w:basedOn w:val="Normal"/>
    <w:uiPriority w:val="1"/>
    <w:qFormat w:val="1"/>
    <w:rPr>
      <w:sz w:val="24"/>
      <w:szCs w:val="24"/>
    </w:r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Textodebalo">
    <w:name w:val="Balloon Text"/>
    <w:basedOn w:val="Normal"/>
    <w:link w:val="TextodebaloChar"/>
    <w:uiPriority w:val="99"/>
    <w:semiHidden w:val="1"/>
    <w:unhideWhenUsed w:val="1"/>
    <w:qFormat w:val="1"/>
    <w:rsid w:val="00DD5B38"/>
    <w:rPr>
      <w:rFonts w:ascii="Tahoma" w:cs="Tahoma" w:hAnsi="Tahoma"/>
      <w:sz w:val="16"/>
      <w:szCs w:val="16"/>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B67667"/>
    <w:pPr>
      <w:tabs>
        <w:tab w:val="center" w:pos="4252"/>
        <w:tab w:val="right" w:pos="8504"/>
      </w:tabs>
    </w:pPr>
  </w:style>
  <w:style w:type="paragraph" w:styleId="Rodap">
    <w:name w:val="footer"/>
    <w:basedOn w:val="Normal"/>
    <w:link w:val="RodapChar"/>
    <w:uiPriority w:val="99"/>
    <w:unhideWhenUsed w:val="1"/>
    <w:rsid w:val="00B67667"/>
    <w:pPr>
      <w:tabs>
        <w:tab w:val="center" w:pos="4252"/>
        <w:tab w:val="right" w:pos="8504"/>
      </w:tabs>
    </w:p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character" w:styleId="Hyperlink">
    <w:name w:val="Hyperlink"/>
    <w:basedOn w:val="Fontepargpadro"/>
    <w:uiPriority w:val="99"/>
    <w:unhideWhenUsed w:val="1"/>
    <w:rsid w:val="00AD4E5F"/>
    <w:rPr>
      <w:color w:val="0000ff" w:themeColor="hyperlink"/>
      <w:u w:val="single"/>
    </w:rPr>
  </w:style>
  <w:style w:type="character" w:styleId="MenoPendente">
    <w:name w:val="Unresolved Mention"/>
    <w:basedOn w:val="Fontepargpadro"/>
    <w:uiPriority w:val="99"/>
    <w:semiHidden w:val="1"/>
    <w:unhideWhenUsed w:val="1"/>
    <w:rsid w:val="00AD4E5F"/>
    <w:rPr>
      <w:color w:val="605e5c"/>
      <w:shd w:color="auto" w:fill="e1dfdd" w:val="clear"/>
    </w:rPr>
  </w:style>
  <w:style w:type="paragraph" w:styleId="Reviso">
    <w:name w:val="Revision"/>
    <w:hidden w:val="1"/>
    <w:uiPriority w:val="99"/>
    <w:semiHidden w:val="1"/>
    <w:rsid w:val="001A1349"/>
    <w:pPr>
      <w:suppressAutoHyphens w:val="0"/>
    </w:pPr>
    <w:rPr>
      <w:rFonts w:ascii="Times New Roman" w:cs="Times New Roman" w:eastAsia="Times New Roman" w:hAnsi="Times New Roman"/>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eandro.antero@uems.br"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d+572u3h/HOHnLbnMrER7mndQ==">CgMxLjA4AHIhMUV0MjZXMmxlS05ReWZBRGxsTGtwZ19LNUFndklUaHZv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2024-08-06T15:47:00Z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