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both"/>
        <w:rPr>
          <w:sz w:val="20"/>
          <w:szCs w:val="20"/>
        </w:rPr>
      </w:pPr>
      <w:r>
        <w:rPr/>
      </w:r>
    </w:p>
    <w:p>
      <w:pPr>
        <w:pStyle w:val="Normal"/>
        <w:spacing w:lineRule="auto" w:line="240" w:before="0" w:after="283"/>
        <w:jc w:val="both"/>
        <w:rPr>
          <w:sz w:val="20"/>
          <w:szCs w:val="20"/>
        </w:rPr>
      </w:pPr>
      <w:r>
        <w:rPr>
          <w:b/>
          <w:sz w:val="20"/>
          <w:szCs w:val="20"/>
          <w:lang w:eastAsia="pt-BR"/>
        </w:rPr>
        <w:t>REFLEXÕES SOBRE MOROSIDADE LEGISLATIVA E HOMOTRANSFOBIA</w:t>
      </w:r>
    </w:p>
    <w:p>
      <w:pPr>
        <w:pStyle w:val="Normal"/>
        <w:spacing w:lineRule="auto" w:line="240" w:before="0" w:after="283"/>
        <w:jc w:val="both"/>
        <w:rPr>
          <w:sz w:val="20"/>
          <w:szCs w:val="20"/>
        </w:rPr>
      </w:pPr>
      <w:r>
        <w:rPr>
          <w:b/>
          <w:bCs/>
          <w:sz w:val="20"/>
          <w:szCs w:val="20"/>
        </w:rPr>
        <w:t xml:space="preserve">Instituição: </w:t>
      </w:r>
      <w:r>
        <w:rPr>
          <w:sz w:val="20"/>
          <w:szCs w:val="20"/>
        </w:rPr>
        <w:t>UEMS – UNIVERSIDADE ESTADUAL DE MATO GROSSO DO SUL</w:t>
      </w:r>
    </w:p>
    <w:p>
      <w:pPr>
        <w:pStyle w:val="Normal"/>
        <w:spacing w:lineRule="auto" w:line="240" w:before="0" w:after="283"/>
        <w:jc w:val="both"/>
        <w:rPr>
          <w:sz w:val="20"/>
          <w:szCs w:val="20"/>
        </w:rPr>
      </w:pPr>
      <w:r>
        <w:rPr>
          <w:b/>
          <w:bCs/>
          <w:sz w:val="20"/>
          <w:szCs w:val="20"/>
        </w:rPr>
        <w:t xml:space="preserve">Área temática: </w:t>
      </w:r>
      <w:r>
        <w:rPr>
          <w:sz w:val="20"/>
          <w:szCs w:val="20"/>
        </w:rPr>
        <w:t>Ciências Sociais &gt; Direito &gt; Sociologia Jurídica</w:t>
      </w:r>
    </w:p>
    <w:p>
      <w:pPr>
        <w:pStyle w:val="Corpodotexto"/>
        <w:spacing w:lineRule="auto" w:line="240" w:before="0" w:after="283"/>
        <w:jc w:val="both"/>
        <w:rPr/>
      </w:pPr>
      <w:r>
        <w:rPr>
          <w:rFonts w:eastAsia="Calibri"/>
          <w:b/>
          <w:sz w:val="20"/>
          <w:szCs w:val="20"/>
          <w:lang w:eastAsia="zh-CN"/>
        </w:rPr>
        <w:t xml:space="preserve">FARIA, </w:t>
      </w:r>
      <w:r>
        <w:rPr>
          <w:rFonts w:eastAsia="Calibri"/>
          <w:sz w:val="20"/>
          <w:szCs w:val="20"/>
          <w:lang w:eastAsia="zh-CN"/>
        </w:rPr>
        <w:t xml:space="preserve">Luiza Paulino de </w:t>
      </w:r>
      <w:r>
        <w:rPr>
          <w:rFonts w:eastAsia="Calibri"/>
          <w:sz w:val="20"/>
          <w:szCs w:val="20"/>
          <w:vertAlign w:val="superscript"/>
          <w:lang w:eastAsia="zh-CN"/>
        </w:rPr>
        <w:t>1</w:t>
      </w:r>
      <w:r>
        <w:rPr>
          <w:rFonts w:eastAsia="Calibri"/>
          <w:sz w:val="20"/>
          <w:szCs w:val="20"/>
          <w:lang w:eastAsia="zh-CN"/>
        </w:rPr>
        <w:t xml:space="preserve"> (</w:t>
      </w:r>
      <w:hyperlink r:id="rId2">
        <w:r>
          <w:rPr>
            <w:rStyle w:val="LinkdaInternet"/>
            <w:rFonts w:eastAsia="Calibri"/>
            <w:sz w:val="20"/>
            <w:szCs w:val="20"/>
            <w:lang w:eastAsia="zh-CN"/>
          </w:rPr>
          <w:t>luizafaria442@gmail.com</w:t>
        </w:r>
      </w:hyperlink>
      <w:r>
        <w:rPr>
          <w:rFonts w:eastAsia="Calibri"/>
          <w:sz w:val="20"/>
          <w:szCs w:val="20"/>
          <w:lang w:eastAsia="zh-CN"/>
        </w:rPr>
        <w:t>);</w:t>
      </w:r>
      <w:r>
        <w:rPr>
          <w:rFonts w:eastAsia="Calibri"/>
          <w:b/>
          <w:sz w:val="20"/>
          <w:szCs w:val="20"/>
          <w:lang w:eastAsia="zh-CN"/>
        </w:rPr>
        <w:t xml:space="preserve"> CARLOS, </w:t>
      </w:r>
      <w:r>
        <w:rPr>
          <w:rFonts w:eastAsia="Calibri"/>
          <w:sz w:val="20"/>
          <w:szCs w:val="20"/>
          <w:lang w:eastAsia="zh-CN"/>
        </w:rPr>
        <w:t>Daniel Pícaro</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sz w:val="20"/>
          <w:szCs w:val="20"/>
          <w:lang w:eastAsia="zh-CN"/>
        </w:rPr>
        <w:t>d.picaro@yahoo.com</w:t>
      </w:r>
      <w:r>
        <w:rPr>
          <w:rFonts w:eastAsia="Calibri"/>
          <w:sz w:val="20"/>
          <w:szCs w:val="20"/>
          <w:lang w:eastAsia="zh-CN"/>
        </w:rPr>
        <w:t>).</w:t>
      </w:r>
    </w:p>
    <w:p>
      <w:pPr>
        <w:pStyle w:val="Corpodotexto"/>
        <w:spacing w:lineRule="auto" w:line="240"/>
        <w:jc w:val="both"/>
        <w:rPr>
          <w:sz w:val="20"/>
          <w:szCs w:val="20"/>
        </w:rPr>
      </w:pPr>
      <w:r>
        <w:rPr>
          <w:rFonts w:eastAsia="Calibri"/>
          <w:sz w:val="20"/>
          <w:szCs w:val="20"/>
          <w:vertAlign w:val="superscript"/>
          <w:lang w:eastAsia="zh-CN"/>
        </w:rPr>
        <w:t>1</w:t>
      </w:r>
      <w:r>
        <w:rPr>
          <w:rFonts w:eastAsia="Calibri"/>
          <w:sz w:val="20"/>
          <w:szCs w:val="20"/>
          <w:lang w:eastAsia="zh-CN"/>
        </w:rPr>
        <w:t xml:space="preserve"> – Orientanda e aluna no curso de direito;</w:t>
      </w:r>
    </w:p>
    <w:p>
      <w:pPr>
        <w:pStyle w:val="Corpodotexto"/>
        <w:spacing w:lineRule="auto" w:line="240"/>
        <w:jc w:val="both"/>
        <w:rPr>
          <w:sz w:val="20"/>
          <w:szCs w:val="20"/>
        </w:rPr>
      </w:pPr>
      <w:r>
        <w:rPr>
          <w:rFonts w:eastAsia="Calibri"/>
          <w:sz w:val="20"/>
          <w:szCs w:val="20"/>
          <w:vertAlign w:val="superscript"/>
          <w:lang w:eastAsia="zh-CN"/>
        </w:rPr>
        <w:t>2</w:t>
      </w:r>
      <w:r>
        <w:rPr>
          <w:rFonts w:eastAsia="Calibri"/>
          <w:sz w:val="20"/>
          <w:szCs w:val="20"/>
          <w:lang w:eastAsia="zh-CN"/>
        </w:rPr>
        <w:t xml:space="preserve"> – Professor orientador.</w:t>
      </w:r>
    </w:p>
    <w:p>
      <w:pPr>
        <w:pStyle w:val="Corpodotexto"/>
        <w:spacing w:lineRule="auto" w:line="240"/>
        <w:jc w:val="both"/>
        <w:rPr>
          <w:sz w:val="20"/>
          <w:szCs w:val="20"/>
        </w:rPr>
      </w:pPr>
      <w:r>
        <w:rPr>
          <w:sz w:val="20"/>
          <w:szCs w:val="20"/>
        </w:rPr>
      </w:r>
    </w:p>
    <w:p>
      <w:pPr>
        <w:pStyle w:val="Normal"/>
        <w:spacing w:lineRule="auto" w:line="240"/>
        <w:jc w:val="both"/>
        <w:rPr>
          <w:sz w:val="20"/>
          <w:szCs w:val="20"/>
        </w:rPr>
      </w:pPr>
      <w:r>
        <w:rPr>
          <w:sz w:val="20"/>
          <w:szCs w:val="20"/>
          <w:lang w:eastAsia="pt-BR"/>
        </w:rPr>
        <w:t>No dia 15 de fevereiro de 2017 uma travesti foi brutalmente assassinada. Esta mulher se chamava Dandara dos Santos e possuia apenas 42 anos na data de seu falecimento.</w:t>
      </w:r>
    </w:p>
    <w:p>
      <w:pPr>
        <w:pStyle w:val="Normal"/>
        <w:spacing w:lineRule="auto" w:line="240"/>
        <w:jc w:val="both"/>
        <w:rPr>
          <w:sz w:val="20"/>
          <w:szCs w:val="20"/>
        </w:rPr>
      </w:pPr>
      <w:r>
        <w:rPr>
          <w:sz w:val="20"/>
          <w:szCs w:val="20"/>
          <w:lang w:eastAsia="pt-BR"/>
        </w:rPr>
        <w:t>O crime ocorrido em Fortaleza, no Ceará, local em que Dandara foi executada a tiros e com uma pedrada na cabeça, depois de ser torturada e humilhada por vários homens, trouxe a tona, novamente, a discussão sobre a proteção da população LGBTQIA+.</w:t>
      </w:r>
    </w:p>
    <w:p>
      <w:pPr>
        <w:pStyle w:val="Normal"/>
        <w:spacing w:lineRule="auto" w:line="240"/>
        <w:jc w:val="both"/>
        <w:rPr>
          <w:sz w:val="20"/>
          <w:szCs w:val="20"/>
        </w:rPr>
      </w:pPr>
      <w:r>
        <w:rPr>
          <w:sz w:val="20"/>
          <w:szCs w:val="20"/>
          <w:lang w:eastAsia="pt-BR"/>
        </w:rPr>
        <w:t>Sua história se tornou inspiração para a Lei Dandara, como foi nomeado o Projeto de Lei Nº 7.292 de 2017, por iniciativa da Deputada Luizianne Lins (PT – CE).</w:t>
      </w:r>
    </w:p>
    <w:p>
      <w:pPr>
        <w:pStyle w:val="Normal"/>
        <w:spacing w:lineRule="auto" w:line="240"/>
        <w:jc w:val="both"/>
        <w:rPr>
          <w:sz w:val="20"/>
          <w:szCs w:val="20"/>
        </w:rPr>
      </w:pPr>
      <w:r>
        <w:rPr>
          <w:sz w:val="20"/>
          <w:szCs w:val="20"/>
          <w:lang w:eastAsia="pt-BR"/>
        </w:rPr>
        <w:t>O LGBTcídio, como foi chamado pelo Projeto de Lei, é uma espécie de homicídio qualificado, quando cometido contra homossexuais ou transsexuais por condição de homossexualidade ou transgeneridade, ou seja, quando alguém mata um homossexual ou transsexual por motivos de menosprezo ou discriminação contra seu gênero ou sua sexualidade.</w:t>
      </w:r>
    </w:p>
    <w:p>
      <w:pPr>
        <w:pStyle w:val="Normal"/>
        <w:spacing w:lineRule="auto" w:line="240"/>
        <w:jc w:val="both"/>
        <w:rPr>
          <w:sz w:val="20"/>
          <w:szCs w:val="20"/>
        </w:rPr>
      </w:pPr>
      <w:r>
        <w:rPr>
          <w:sz w:val="20"/>
          <w:szCs w:val="20"/>
          <w:lang w:eastAsia="pt-BR"/>
        </w:rPr>
        <w:t>Esta proposta foi apresentada pela deputada no dia 04 de abril de 2017 e, gravemente, a proposta ainda permanece em processo legislativo.</w:t>
      </w:r>
    </w:p>
    <w:p>
      <w:pPr>
        <w:pStyle w:val="Normal"/>
        <w:spacing w:lineRule="auto" w:line="240"/>
        <w:jc w:val="both"/>
        <w:rPr>
          <w:sz w:val="20"/>
          <w:szCs w:val="20"/>
        </w:rPr>
      </w:pPr>
      <w:r>
        <w:rPr>
          <w:sz w:val="20"/>
          <w:szCs w:val="20"/>
          <w:lang w:eastAsia="pt-BR"/>
        </w:rPr>
        <w:t>Apesar do caso de Dandara ser representativo deste cenário, estamos falando de uma história trajada de preconceitos, de narrativas marcadas e terminadas muito cedo pelo ódio e, acima de tudo, do subterfúgio do parlamento, que se esquiva de decisões que demandam urgência. Ou seja, não estamos diante de um caso específico, mas de graves antecedentes de escala nacional. Por isso, podemos afirmar que ao lado de brutalidade e comoção popular, caminha a morosidade do Poder Legislativo na criminalização destes atos ultrajes motivados pelo ódio e preconceito.</w:t>
      </w:r>
    </w:p>
    <w:p>
      <w:pPr>
        <w:pStyle w:val="Normal"/>
        <w:spacing w:lineRule="auto" w:line="240"/>
        <w:jc w:val="both"/>
        <w:rPr>
          <w:sz w:val="20"/>
          <w:szCs w:val="20"/>
        </w:rPr>
      </w:pPr>
      <w:r>
        <w:rPr>
          <w:sz w:val="20"/>
          <w:szCs w:val="20"/>
          <w:lang w:eastAsia="pt-BR"/>
        </w:rPr>
        <w:t>A hipótese adotada por esta pesquisa, como forma de delimitação de um tema riquíssimo,  é sobre a criação de uma lei que criminalize os atos de homotransfobia, para que possamos chegar então a uma das possíveis soluções para estas atrocidades.</w:t>
      </w:r>
    </w:p>
    <w:p>
      <w:pPr>
        <w:pStyle w:val="Normal"/>
        <w:spacing w:lineRule="auto" w:line="240"/>
        <w:jc w:val="both"/>
        <w:rPr>
          <w:sz w:val="20"/>
          <w:szCs w:val="20"/>
        </w:rPr>
      </w:pPr>
      <w:r>
        <w:rPr>
          <w:sz w:val="20"/>
          <w:szCs w:val="20"/>
          <w:lang w:eastAsia="pt-BR"/>
        </w:rPr>
        <w:t>Para isto, textos como: O casulo Dandara, de Vitória Holanda (2019); Encruzilhadas “queer” no direito, de Eder Van Pelt (2022) e; A orientação sexual na constituinte de 1987 - 88, constituição performativa de sujeitos LGBTI+ na Constituição da nação brasileira, de Rafael Carrano Lelis, entre outros, foram utilizados para compreender a situação desta minoria no Brasil contemporêneo e verificar a necessidade que este grupo carrega, de ser tutelado e respeitado, iniciando, por exemplo, pelo reconhecimento do Poder Legislativo sobre a importância da criminalização da homofobia.</w:t>
      </w:r>
    </w:p>
    <w:p>
      <w:pPr>
        <w:pStyle w:val="Normal"/>
        <w:spacing w:lineRule="auto" w:line="240"/>
        <w:jc w:val="both"/>
        <w:rPr>
          <w:sz w:val="20"/>
          <w:szCs w:val="20"/>
          <w:lang w:eastAsia="pt-BR"/>
        </w:rPr>
      </w:pPr>
      <w:r>
        <w:rPr>
          <w:sz w:val="20"/>
          <w:szCs w:val="20"/>
          <w:lang w:eastAsia="pt-BR"/>
        </w:rPr>
      </w:r>
    </w:p>
    <w:p>
      <w:pPr>
        <w:pStyle w:val="Normal"/>
        <w:spacing w:lineRule="auto" w:line="240" w:before="0" w:after="283"/>
        <w:jc w:val="both"/>
        <w:rPr>
          <w:sz w:val="20"/>
          <w:szCs w:val="20"/>
        </w:rPr>
      </w:pPr>
      <w:r>
        <w:rPr>
          <w:b/>
          <w:bCs/>
          <w:sz w:val="20"/>
          <w:szCs w:val="20"/>
          <w:lang w:eastAsia="pt-BR"/>
        </w:rPr>
        <w:t>PALAVRAS-CHAVE:</w:t>
      </w:r>
      <w:r>
        <w:rPr>
          <w:sz w:val="20"/>
          <w:szCs w:val="20"/>
          <w:lang w:eastAsia="pt-BR"/>
        </w:rPr>
        <w:t xml:space="preserve"> LGBTCÍDIO, PRECONCEITO, OMISSÃO.</w:t>
      </w:r>
    </w:p>
    <w:p>
      <w:pPr>
        <w:pStyle w:val="Normal"/>
        <w:spacing w:lineRule="auto" w:line="240"/>
        <w:jc w:val="both"/>
        <w:rPr>
          <w:sz w:val="20"/>
          <w:szCs w:val="20"/>
        </w:rPr>
      </w:pPr>
      <w:r>
        <w:rPr>
          <w:b/>
          <w:bCs/>
          <w:sz w:val="20"/>
          <w:szCs w:val="20"/>
          <w:lang w:eastAsia="pt-BR"/>
        </w:rPr>
        <w:t>AGRADECIMENTOS:</w:t>
      </w:r>
      <w:r>
        <w:rPr>
          <w:sz w:val="20"/>
          <w:szCs w:val="20"/>
          <w:lang w:eastAsia="pt-BR"/>
        </w:rPr>
        <w:t xml:space="preserve"> Agradeço à Universidade Estadual de Mato Grosso do Sul, o órgão financiador Conselho Nacional de Desenvolvimento Científico e Tecnológico (CNPq) e ao PIBIC UEMS por tornar possível a presente pesquisa.</w:t>
      </w:r>
    </w:p>
    <w:p>
      <w:pPr>
        <w:pStyle w:val="Normal"/>
        <w:spacing w:lineRule="auto" w:line="240"/>
        <w:jc w:val="both"/>
        <w:rPr>
          <w:sz w:val="20"/>
          <w:szCs w:val="20"/>
        </w:rPr>
      </w:pPr>
      <w:r>
        <w:rPr>
          <w:sz w:val="20"/>
          <w:szCs w:val="20"/>
        </w:rPr>
      </w:r>
    </w:p>
    <w:p>
      <w:pPr>
        <w:pStyle w:val="Normal"/>
        <w:spacing w:lineRule="auto" w:line="240"/>
        <w:jc w:val="both"/>
        <w:rPr>
          <w:sz w:val="20"/>
          <w:szCs w:val="20"/>
        </w:rPr>
      </w:pPr>
      <w:r>
        <w:rPr>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8e6026"/>
    <w:rPr>
      <w:color w:val="0000FF" w:themeColor="hyperlink"/>
      <w:u w:val="single"/>
    </w:rPr>
  </w:style>
  <w:style w:type="character" w:styleId="UnresolvedMention">
    <w:name w:val="Unresolved Mention"/>
    <w:basedOn w:val="DefaultParagraphFont"/>
    <w:uiPriority w:val="99"/>
    <w:semiHidden/>
    <w:unhideWhenUsed/>
    <w:qFormat/>
    <w:rsid w:val="008e6026"/>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izafaria442@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460</Words>
  <Characters>2583</Characters>
  <CharactersWithSpaces>3033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2024-08-07T21:23:00Z</dcterms:created>
  <dc:creator>Usuário do Windows</dc:creator>
  <dc:description/>
  <dc:language>pt-BR</dc:language>
  <cp:lastModifiedBy/>
  <cp:lastPrinted>2023-01-31T14:18:00Z</cp:lastPrinted>
  <dcterms:modified xsi:type="dcterms:W3CDTF">2024-08-12T15:23:09Z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