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both"/>
        <w:rPr>
          <w:sz w:val="20"/>
          <w:szCs w:val="20"/>
        </w:rPr>
      </w:pPr>
      <w:r>
        <w:rPr/>
      </w:r>
    </w:p>
    <w:p>
      <w:pPr>
        <w:pStyle w:val="Normal"/>
        <w:spacing w:lineRule="auto" w:line="240" w:before="0" w:after="283"/>
        <w:jc w:val="both"/>
        <w:rPr>
          <w:sz w:val="20"/>
          <w:szCs w:val="20"/>
        </w:rPr>
      </w:pPr>
      <w:r>
        <w:rPr>
          <w:b/>
          <w:bCs/>
          <w:sz w:val="20"/>
          <w:szCs w:val="20"/>
          <w:lang w:eastAsia="pt-BR"/>
        </w:rPr>
        <w:t>TÍTULO:</w:t>
      </w:r>
      <w:r>
        <w:rPr>
          <w:sz w:val="20"/>
          <w:szCs w:val="20"/>
        </w:rPr>
        <w:t xml:space="preserve"> </w:t>
      </w:r>
      <w:r>
        <w:rPr>
          <w:b/>
          <w:bCs/>
          <w:sz w:val="20"/>
          <w:szCs w:val="20"/>
          <w:lang w:eastAsia="pt-BR"/>
        </w:rPr>
        <w:t>“A DISCUSSÃO SOBRE A SÚMULA 231 DO STJ E OS IMPACTOS NEGATIVOS NO JUDICIÁRIO BRASILEIRO”</w:t>
      </w:r>
      <w:r>
        <w:rPr>
          <w:b/>
          <w:sz w:val="20"/>
          <w:szCs w:val="20"/>
          <w:lang w:eastAsia="pt-BR"/>
        </w:rPr>
        <w:t>.</w:t>
      </w:r>
    </w:p>
    <w:p>
      <w:pPr>
        <w:pStyle w:val="Normal"/>
        <w:spacing w:lineRule="auto" w:line="240" w:before="0" w:after="283"/>
        <w:jc w:val="both"/>
        <w:rPr/>
      </w:pPr>
      <w:r>
        <w:rPr>
          <w:b/>
          <w:bCs/>
          <w:sz w:val="20"/>
          <w:szCs w:val="20"/>
        </w:rPr>
        <w:t xml:space="preserve">Instituição: </w:t>
      </w:r>
      <w:r>
        <w:rPr>
          <w:sz w:val="20"/>
          <w:szCs w:val="20"/>
        </w:rPr>
        <w:t>Universidade Estadual de Mato Grosso do Sul (UEMS).</w:t>
      </w:r>
    </w:p>
    <w:p>
      <w:pPr>
        <w:pStyle w:val="Normal"/>
        <w:spacing w:lineRule="auto" w:line="240" w:before="0" w:after="283"/>
        <w:jc w:val="both"/>
        <w:rPr/>
      </w:pPr>
      <w:r>
        <w:rPr>
          <w:b/>
          <w:bCs/>
          <w:sz w:val="20"/>
          <w:szCs w:val="20"/>
        </w:rPr>
        <w:t xml:space="preserve">Área temática: </w:t>
      </w:r>
      <w:r>
        <w:rPr>
          <w:sz w:val="20"/>
          <w:szCs w:val="20"/>
        </w:rPr>
        <w:t>Pesquisa/Pós - Graduação – UEMS.</w:t>
      </w:r>
    </w:p>
    <w:p>
      <w:pPr>
        <w:pStyle w:val="Corpodotexto"/>
        <w:spacing w:lineRule="auto" w:line="240" w:before="0" w:after="283"/>
        <w:jc w:val="both"/>
        <w:rPr/>
      </w:pPr>
      <w:r>
        <w:rPr>
          <w:rFonts w:eastAsia="Calibri"/>
          <w:b/>
          <w:sz w:val="20"/>
          <w:szCs w:val="20"/>
          <w:lang w:eastAsia="zh-CN"/>
        </w:rPr>
        <w:t xml:space="preserve">RIBEIRO, </w:t>
      </w:r>
      <w:r>
        <w:rPr>
          <w:rFonts w:eastAsia="Calibri"/>
          <w:sz w:val="20"/>
          <w:szCs w:val="20"/>
          <w:lang w:eastAsia="zh-CN"/>
        </w:rPr>
        <w:t>Gabriel Pereira da Silva</w:t>
      </w:r>
      <w:r>
        <w:rPr>
          <w:rFonts w:eastAsia="Calibri"/>
          <w:sz w:val="20"/>
          <w:szCs w:val="20"/>
          <w:vertAlign w:val="superscript"/>
          <w:lang w:eastAsia="zh-CN"/>
        </w:rPr>
        <w:t>1</w:t>
      </w:r>
      <w:r>
        <w:rPr>
          <w:rFonts w:eastAsia="Calibri"/>
          <w:sz w:val="20"/>
          <w:szCs w:val="20"/>
          <w:lang w:eastAsia="zh-CN"/>
        </w:rPr>
        <w:t xml:space="preserve"> (</w:t>
      </w:r>
      <w:r>
        <w:rPr>
          <w:rStyle w:val="LinkdaInternet"/>
          <w:rFonts w:eastAsia="Calibri"/>
          <w:sz w:val="20"/>
          <w:szCs w:val="20"/>
          <w:lang w:eastAsia="zh-CN"/>
        </w:rPr>
        <w:t>07567543133@academicos.uems.br</w:t>
      </w:r>
      <w:r>
        <w:rPr>
          <w:rFonts w:eastAsia="Calibri"/>
          <w:sz w:val="20"/>
          <w:szCs w:val="20"/>
          <w:lang w:eastAsia="zh-CN"/>
        </w:rPr>
        <w:t>);</w:t>
      </w:r>
      <w:r>
        <w:rPr>
          <w:rFonts w:eastAsia="Calibri"/>
          <w:b/>
          <w:sz w:val="20"/>
          <w:szCs w:val="20"/>
          <w:lang w:eastAsia="zh-CN"/>
        </w:rPr>
        <w:t xml:space="preserve"> MARTINS</w:t>
      </w:r>
      <w:r>
        <w:rPr>
          <w:rFonts w:eastAsia="Calibri"/>
          <w:bCs/>
          <w:sz w:val="20"/>
          <w:szCs w:val="20"/>
          <w:lang w:eastAsia="zh-CN"/>
        </w:rPr>
        <w:t>, Lisandra Moreira</w:t>
      </w:r>
      <w:r>
        <w:rPr>
          <w:rFonts w:eastAsia="Calibri"/>
          <w:bCs/>
          <w:sz w:val="20"/>
          <w:szCs w:val="20"/>
          <w:vertAlign w:val="superscript"/>
          <w:lang w:eastAsia="zh-CN"/>
        </w:rPr>
        <w:t>2</w:t>
      </w:r>
      <w:r>
        <w:rPr>
          <w:rFonts w:eastAsia="Calibri"/>
          <w:sz w:val="20"/>
          <w:szCs w:val="20"/>
          <w:lang w:eastAsia="zh-CN"/>
        </w:rPr>
        <w:t xml:space="preserve"> (</w:t>
      </w:r>
      <w:hyperlink r:id="rId2">
        <w:r>
          <w:rPr>
            <w:rStyle w:val="LinkdaInternet"/>
            <w:sz w:val="20"/>
            <w:szCs w:val="20"/>
          </w:rPr>
          <w:t>proflisandra@uems.br</w:t>
        </w:r>
      </w:hyperlink>
      <w:r>
        <w:rPr>
          <w:rFonts w:eastAsia="Calibri"/>
          <w:sz w:val="20"/>
          <w:szCs w:val="20"/>
          <w:lang w:eastAsia="zh-CN"/>
        </w:rPr>
        <w:t>).</w:t>
      </w:r>
    </w:p>
    <w:p>
      <w:pPr>
        <w:pStyle w:val="Corpodotexto"/>
        <w:spacing w:lineRule="auto" w:line="240"/>
        <w:jc w:val="both"/>
        <w:rPr/>
      </w:pPr>
      <w:r>
        <w:rPr>
          <w:rFonts w:eastAsia="Calibri"/>
          <w:sz w:val="20"/>
          <w:szCs w:val="20"/>
          <w:vertAlign w:val="superscript"/>
          <w:lang w:eastAsia="zh-CN"/>
        </w:rPr>
        <w:t>1</w:t>
      </w:r>
      <w:r>
        <w:rPr>
          <w:rFonts w:eastAsia="Calibri"/>
          <w:sz w:val="20"/>
          <w:szCs w:val="20"/>
          <w:lang w:eastAsia="zh-CN"/>
        </w:rPr>
        <w:t xml:space="preserve"> – Acadêmico de Direito na Universidade Estadual de Mato Grosso do Sul (UEMS), Unidade Universitária de Paranaíba;</w:t>
      </w:r>
    </w:p>
    <w:p>
      <w:pPr>
        <w:pStyle w:val="Corpodotexto"/>
        <w:spacing w:lineRule="auto" w:line="240"/>
        <w:jc w:val="both"/>
        <w:rPr/>
      </w:pPr>
      <w:r>
        <w:rPr>
          <w:rFonts w:eastAsia="Calibri"/>
          <w:sz w:val="20"/>
          <w:szCs w:val="20"/>
          <w:vertAlign w:val="superscript"/>
          <w:lang w:eastAsia="zh-CN"/>
        </w:rPr>
        <w:t>2</w:t>
      </w:r>
      <w:r>
        <w:rPr>
          <w:rFonts w:eastAsia="Calibri"/>
          <w:sz w:val="20"/>
          <w:szCs w:val="20"/>
          <w:lang w:eastAsia="zh-CN"/>
        </w:rPr>
        <w:t xml:space="preserve"> – Docente Efetiva nos cursos de graduação em Direito e especialização em Direitos Humanos da Universidade Estadual de Mato Grosso do Sul (UEMS) e Doutoura em Direito Processual Penal pela PUC.</w:t>
      </w:r>
      <w:bookmarkStart w:id="0" w:name="_GoBack"/>
      <w:bookmarkEnd w:id="0"/>
    </w:p>
    <w:p>
      <w:pPr>
        <w:pStyle w:val="Corpodotexto"/>
        <w:spacing w:lineRule="auto" w:line="240" w:before="0" w:after="283"/>
        <w:jc w:val="both"/>
        <w:rPr>
          <w:sz w:val="20"/>
          <w:szCs w:val="20"/>
        </w:rPr>
      </w:pPr>
      <w:r>
        <w:rPr>
          <w:sz w:val="20"/>
          <w:szCs w:val="20"/>
        </w:rPr>
      </w:r>
    </w:p>
    <w:p>
      <w:pPr>
        <w:pStyle w:val="Corpodotexto"/>
        <w:spacing w:lineRule="auto" w:line="240" w:before="0" w:after="283"/>
        <w:jc w:val="both"/>
        <w:rPr/>
      </w:pPr>
      <w:r>
        <w:rPr>
          <w:sz w:val="20"/>
          <w:szCs w:val="20"/>
          <w:lang w:eastAsia="pt-BR"/>
        </w:rPr>
        <w:t xml:space="preserve">Essa pesquisa tem como objetivo analisar a constitucionalidade do enunciado da Súmula 231 do Superior Tribunal de Justiça, vigente há mais de duas décadas. Para isso, realiza um estudo detalhado nos precedentes que motivaram sua criação, verificando suas premissas e contextualizando-as com o atual cenário de aplicação desse entendimento sumulado. O trabalho explora a evolução da pena e seus fundamentos, sempre guiado pelos princípios que a regem como um comando normativo. Além disso, examina o método trifásico de cálculo de penas, conhecido como método de Nelson Hungria, buscando a racionalidade necessária ao direito penal, dado que este é um instrumento de limitação do poder punitivo do Estado. Considera-se que o entendimento sumulado pode estar violando preceitos constitucionais e desrespeitando o Estado Democrático de Direito. Esta pesquisa foi conduzida de acordo com uma variedade de fontes e abordagens metodológicas para assegurar sua abrangência e precisão. Em primeiro lugar, fundamentou-se nas jurisprudências atuais e passadas, especialmente aquelas que diretamente influenciam a interpretação e aplicação da Súmula 231 do Superior Tribunal de Justiça. A análise das decisões judiciais revelou as tendências jurisprudências e interpretativas ao longo dos anos, permitindo uma visão crítica e contextualizada da aplicação prática dessa súmula. </w:t>
      </w:r>
      <w:r>
        <w:rPr>
          <w:sz w:val="20"/>
          <w:szCs w:val="20"/>
        </w:rPr>
        <w:t>Além disso, a pesquisa se baseou extensivamente no Código Penal e no Código de Processo Penal, que são os alicerces normativos do sistema de justiça criminal brasileiro. Esses códigos fornecem o arcabouço legal necessário para avaliar a constitucionalidade e a legitimidade das penas aplicadas, bem como os procedimentos legais seguidos pelos tribunais. Através dessa análise, foi possível identificar possíveis desconformidades da Súmula 231 com os mandamentos legais e constitucionais. Para complementar a análise normativa, o estudo utilizou também artigos científicos e doutrinários que discutem a aplicação e os efeitos da Súmula 231. Essas fontes acadêmicas proporcionaram uma visão teórica, ajudando a delinear os argumentos mais relevantes sobre a constitucionalidade do enunciado sumulado. Finalmente, a pesquisa empregou uma metodologia intuitiva, permitindo uma abordagem flexível e adaptativa à investigação. Este método facilitou a integração de diversas perspectivas legais e teóricas, promovendo uma compreensão mais holística do problema em questão. A combinação dessas fontes e metodologias garantiu uma análise rigorosa, crítica e contextualizada, essencial para qualquer estudo de alta complexidade jurídica.</w:t>
      </w:r>
    </w:p>
    <w:p>
      <w:pPr>
        <w:pStyle w:val="Normal"/>
        <w:spacing w:lineRule="auto" w:line="240" w:before="0" w:after="283"/>
        <w:jc w:val="both"/>
        <w:rPr/>
      </w:pPr>
      <w:r>
        <w:rPr>
          <w:b/>
          <w:bCs/>
          <w:sz w:val="20"/>
          <w:szCs w:val="20"/>
          <w:lang w:eastAsia="pt-BR"/>
        </w:rPr>
        <w:t>PALAVRAS-CHAVE:</w:t>
      </w:r>
      <w:r>
        <w:rPr>
          <w:sz w:val="20"/>
          <w:szCs w:val="20"/>
          <w:lang w:eastAsia="pt-BR"/>
        </w:rPr>
        <w:t xml:space="preserve"> Código Penal, Código de Processo Penal, Súmula 231 do STJ.</w:t>
      </w:r>
    </w:p>
    <w:p>
      <w:pPr>
        <w:pStyle w:val="Normal"/>
        <w:spacing w:lineRule="auto" w:line="240"/>
        <w:jc w:val="both"/>
        <w:rPr/>
      </w:pPr>
      <w:r>
        <w:rPr>
          <w:b/>
          <w:bCs/>
          <w:sz w:val="20"/>
          <w:szCs w:val="20"/>
          <w:lang w:eastAsia="pt-BR"/>
        </w:rPr>
        <w:t>AGRADECIMENTOS:</w:t>
      </w:r>
      <w:r>
        <w:rPr>
          <w:sz w:val="20"/>
          <w:szCs w:val="20"/>
          <w:lang w:eastAsia="pt-BR"/>
        </w:rPr>
        <w:t xml:space="preserve"> O presente trabalho foi realizado com apoio do Programa Institucional de Iniciação Científica (PIC) da UEMS, e com apoio da FUNDECT, no âmbito da Chamada Especial Fundect 07/2023 – PIBIC-Fundect.</w:t>
      </w:r>
    </w:p>
    <w:p>
      <w:pPr>
        <w:pStyle w:val="Normal"/>
        <w:spacing w:lineRule="auto" w:line="240"/>
        <w:jc w:val="both"/>
        <w:rPr>
          <w:sz w:val="20"/>
          <w:szCs w:val="20"/>
        </w:rPr>
      </w:pPr>
      <w:r>
        <w:rPr>
          <w:sz w:val="20"/>
          <w:szCs w:val="20"/>
        </w:rPr>
      </w:r>
    </w:p>
    <w:p>
      <w:pPr>
        <w:pStyle w:val="Normal"/>
        <w:spacing w:lineRule="auto" w:line="240"/>
        <w:jc w:val="both"/>
        <w:rPr>
          <w:sz w:val="20"/>
          <w:szCs w:val="20"/>
        </w:rPr>
      </w:pPr>
      <w:r>
        <w:rPr>
          <w:sz w:val="20"/>
          <w:szCs w:val="20"/>
        </w:rPr>
      </w:r>
    </w:p>
    <w:p>
      <w:pPr>
        <w:pStyle w:val="Normal"/>
        <w:jc w:val="both"/>
        <w:rPr>
          <w:sz w:val="20"/>
          <w:szCs w:val="20"/>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134" w:right="1134" w:gutter="0" w:header="283" w:top="1700" w:footer="283" w:bottom="1133"/>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1"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largest"/>
          <wp:docPr id="2"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largest"/>
          <wp:docPr id="4"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descr=""/>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1" distT="0" distB="0" distL="114300" distR="114300" simplePos="0" locked="0" layoutInCell="0" allowOverlap="1" relativeHeight="2">
          <wp:simplePos x="0" y="0"/>
          <wp:positionH relativeFrom="column">
            <wp:posOffset>635</wp:posOffset>
          </wp:positionH>
          <wp:positionV relativeFrom="paragraph">
            <wp:posOffset>9782810</wp:posOffset>
          </wp:positionV>
          <wp:extent cx="1605915" cy="453390"/>
          <wp:effectExtent l="0" t="0" r="0" b="0"/>
          <wp:wrapSquare wrapText="bothSides"/>
          <wp:docPr id="5"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anchor behindDoc="1" distT="0" distB="0" distL="0" distR="0" simplePos="0" locked="0" layoutInCell="0" allowOverlap="1" relativeHeight="3">
          <wp:simplePos x="0" y="0"/>
          <wp:positionH relativeFrom="column">
            <wp:posOffset>2721610</wp:posOffset>
          </wp:positionH>
          <wp:positionV relativeFrom="paragraph">
            <wp:posOffset>9788525</wp:posOffset>
          </wp:positionV>
          <wp:extent cx="1186815" cy="459740"/>
          <wp:effectExtent l="0" t="0" r="0" b="0"/>
          <wp:wrapSquare wrapText="largest"/>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drawing>
        <wp:anchor behindDoc="1" distT="0" distB="0" distL="0" distR="0" simplePos="0" locked="0" layoutInCell="0" allowOverlap="1" relativeHeight="4">
          <wp:simplePos x="0" y="0"/>
          <wp:positionH relativeFrom="page">
            <wp:posOffset>180975</wp:posOffset>
          </wp:positionH>
          <wp:positionV relativeFrom="paragraph">
            <wp:posOffset>-8255</wp:posOffset>
          </wp:positionV>
          <wp:extent cx="7185660" cy="899160"/>
          <wp:effectExtent l="0" t="0" r="0" b="0"/>
          <wp:wrapSquare wrapText="largest"/>
          <wp:docPr id="7"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descr=""/>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drawing>
        <wp:anchor behindDoc="1" distT="0" distB="0" distL="0" distR="0" simplePos="0" locked="0" layoutInCell="0" allowOverlap="1" relativeHeight="5">
          <wp:simplePos x="0" y="0"/>
          <wp:positionH relativeFrom="column">
            <wp:posOffset>5133340</wp:posOffset>
          </wp:positionH>
          <wp:positionV relativeFrom="paragraph">
            <wp:posOffset>9798050</wp:posOffset>
          </wp:positionV>
          <wp:extent cx="994410" cy="481965"/>
          <wp:effectExtent l="0" t="0" r="0" b="0"/>
          <wp:wrapSquare wrapText="largest"/>
          <wp:docPr id="8"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descr=""/>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ef7f67"/>
    <w:rPr>
      <w:color w:val="0000FF" w:themeColor="hyperlink"/>
      <w:u w:val="single"/>
    </w:rPr>
  </w:style>
  <w:style w:type="character" w:styleId="UnresolvedMention" w:customStyle="1">
    <w:name w:val="Unresolved Mention"/>
    <w:basedOn w:val="DefaultParagraphFont"/>
    <w:uiPriority w:val="99"/>
    <w:semiHidden/>
    <w:unhideWhenUsed/>
    <w:qFormat/>
    <w:rsid w:val="00ef7f67"/>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Arial"/>
      <w:i/>
      <w:iCs/>
      <w:sz w:val="24"/>
      <w:szCs w:val="24"/>
    </w:rPr>
  </w:style>
  <w:style w:type="paragraph" w:styleId="Caption1" w:customStyle="1">
    <w:name w:val="caption1"/>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flisandra@uems.b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7F5AA-4CAE-4B34-803E-EDAAB5B2C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LibreOffice/7.3.5.2$Windows_X86_64 LibreOffice_project/184fe81b8c8c30d8b5082578aee2fed2ea847c01</Application>
  <AppVersion>15.0000</AppVersion>
  <Pages>1</Pages>
  <Words>494</Words>
  <Characters>3025</Characters>
  <CharactersWithSpaces>3514</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dc:description/>
  <dc:language>pt-BR</dc:language>
  <cp:lastModifiedBy/>
  <cp:lastPrinted>2023-01-31T14:18:00Z</cp:lastPrinted>
  <dcterms:modified xsi:type="dcterms:W3CDTF">2024-08-20T09:56:41Z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