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3F61F" w14:textId="77777777" w:rsidR="0085239F" w:rsidRDefault="00000000">
      <w:pPr>
        <w:spacing w:after="283"/>
        <w:jc w:val="center"/>
        <w:rPr>
          <w:sz w:val="20"/>
          <w:szCs w:val="20"/>
        </w:rPr>
      </w:pPr>
      <w:r>
        <w:rPr>
          <w:rStyle w:val="Ttulo10"/>
          <w:rFonts w:cs="Times New Roman"/>
          <w:sz w:val="20"/>
          <w:szCs w:val="20"/>
          <w:lang w:eastAsia="pt-PT"/>
        </w:rPr>
        <w:t>AVALIAÇÃO DA ESTABILIDADE OXIDATIVA DE ÓLEO DE SEMENTE DE TOMATE ENRIQUECIDO COM ANTIOXIDANTES NATURAIS</w:t>
      </w:r>
    </w:p>
    <w:p w14:paraId="6383F620" w14:textId="77777777" w:rsidR="0085239F" w:rsidRDefault="00000000">
      <w:pPr>
        <w:spacing w:after="283"/>
        <w:jc w:val="both"/>
      </w:pPr>
      <w:r>
        <w:rPr>
          <w:b/>
          <w:bCs/>
          <w:sz w:val="20"/>
          <w:szCs w:val="20"/>
        </w:rPr>
        <w:t xml:space="preserve">Instituição: </w:t>
      </w:r>
      <w:r>
        <w:rPr>
          <w:sz w:val="20"/>
          <w:szCs w:val="20"/>
        </w:rPr>
        <w:t>Universidade Estadual de Mato Grosso do Sul (UEMS)</w:t>
      </w:r>
    </w:p>
    <w:p w14:paraId="6383F621" w14:textId="77777777" w:rsidR="0085239F" w:rsidRDefault="00000000">
      <w:pPr>
        <w:spacing w:after="283"/>
        <w:jc w:val="both"/>
      </w:pPr>
      <w:r>
        <w:rPr>
          <w:b/>
          <w:bCs/>
          <w:sz w:val="20"/>
          <w:szCs w:val="20"/>
        </w:rPr>
        <w:t xml:space="preserve">Área temática: </w:t>
      </w:r>
      <w:r>
        <w:rPr>
          <w:sz w:val="20"/>
          <w:szCs w:val="20"/>
        </w:rPr>
        <w:t>Ciências Exatas</w:t>
      </w:r>
      <w:r>
        <w:rPr>
          <w:spacing w:val="-3"/>
          <w:sz w:val="20"/>
          <w:szCs w:val="20"/>
        </w:rPr>
        <w:t xml:space="preserve"> </w:t>
      </w:r>
      <w:r>
        <w:rPr>
          <w:sz w:val="20"/>
          <w:szCs w:val="20"/>
        </w:rPr>
        <w:t>e</w:t>
      </w:r>
      <w:r>
        <w:rPr>
          <w:spacing w:val="-6"/>
          <w:sz w:val="20"/>
          <w:szCs w:val="20"/>
        </w:rPr>
        <w:t xml:space="preserve"> </w:t>
      </w:r>
      <w:r>
        <w:rPr>
          <w:sz w:val="20"/>
          <w:szCs w:val="20"/>
        </w:rPr>
        <w:t>da</w:t>
      </w:r>
      <w:r>
        <w:rPr>
          <w:spacing w:val="-2"/>
          <w:sz w:val="20"/>
          <w:szCs w:val="20"/>
        </w:rPr>
        <w:t xml:space="preserve"> </w:t>
      </w:r>
      <w:r>
        <w:rPr>
          <w:sz w:val="20"/>
          <w:szCs w:val="20"/>
        </w:rPr>
        <w:t>Terra</w:t>
      </w:r>
    </w:p>
    <w:p w14:paraId="6383F622" w14:textId="58F977F6" w:rsidR="0085239F" w:rsidRDefault="00000000">
      <w:pPr>
        <w:pStyle w:val="Corpodetexto"/>
        <w:spacing w:after="283"/>
        <w:jc w:val="both"/>
        <w:rPr>
          <w:lang w:val="pt-BR"/>
        </w:rPr>
      </w:pPr>
      <w:r>
        <w:rPr>
          <w:rFonts w:eastAsia="Calibri"/>
          <w:b/>
          <w:sz w:val="20"/>
          <w:szCs w:val="20"/>
          <w:lang w:eastAsia="zh-CN"/>
        </w:rPr>
        <w:t xml:space="preserve">PAZ, </w:t>
      </w:r>
      <w:r>
        <w:rPr>
          <w:rFonts w:eastAsia="Calibri"/>
          <w:sz w:val="20"/>
          <w:szCs w:val="20"/>
          <w:lang w:eastAsia="zh-CN"/>
        </w:rPr>
        <w:t>Thayan Filipe Maciel</w:t>
      </w:r>
      <w:r>
        <w:rPr>
          <w:rFonts w:eastAsia="Calibri"/>
          <w:sz w:val="20"/>
          <w:szCs w:val="20"/>
          <w:vertAlign w:val="superscript"/>
          <w:lang w:eastAsia="zh-CN"/>
        </w:rPr>
        <w:t>1</w:t>
      </w:r>
      <w:r>
        <w:rPr>
          <w:rFonts w:eastAsia="Calibri"/>
          <w:sz w:val="20"/>
          <w:szCs w:val="20"/>
          <w:lang w:eastAsia="zh-CN"/>
        </w:rPr>
        <w:t xml:space="preserve"> (</w:t>
      </w:r>
      <w:hyperlink r:id="rId7">
        <w:r>
          <w:rPr>
            <w:rStyle w:val="LinkdaInternet"/>
            <w:rFonts w:eastAsia="Calibri"/>
            <w:sz w:val="20"/>
            <w:szCs w:val="20"/>
            <w:lang w:eastAsia="zh-CN"/>
          </w:rPr>
          <w:t>tmaciel739@</w:t>
        </w:r>
      </w:hyperlink>
      <w:r>
        <w:rPr>
          <w:rStyle w:val="LinkdaInternet"/>
          <w:rFonts w:eastAsia="Calibri"/>
          <w:sz w:val="20"/>
          <w:szCs w:val="20"/>
          <w:lang w:eastAsia="zh-CN"/>
        </w:rPr>
        <w:t>gmail.com</w:t>
      </w:r>
      <w:r>
        <w:rPr>
          <w:rFonts w:eastAsia="Calibri"/>
          <w:sz w:val="20"/>
          <w:szCs w:val="20"/>
          <w:lang w:eastAsia="zh-CN"/>
        </w:rPr>
        <w:t>);</w:t>
      </w:r>
      <w:r>
        <w:rPr>
          <w:rFonts w:eastAsia="Calibri"/>
          <w:b/>
          <w:sz w:val="20"/>
          <w:szCs w:val="20"/>
          <w:lang w:eastAsia="zh-CN"/>
        </w:rPr>
        <w:t xml:space="preserve"> SILVA, </w:t>
      </w:r>
      <w:r>
        <w:rPr>
          <w:rFonts w:eastAsia="Calibri"/>
          <w:sz w:val="20"/>
          <w:szCs w:val="20"/>
          <w:lang w:eastAsia="zh-CN"/>
        </w:rPr>
        <w:t>Cinthia Aparecida de Andrade</w:t>
      </w:r>
      <w:r>
        <w:rPr>
          <w:rFonts w:eastAsia="Calibri"/>
          <w:sz w:val="20"/>
          <w:szCs w:val="20"/>
          <w:vertAlign w:val="superscript"/>
          <w:lang w:eastAsia="zh-CN"/>
        </w:rPr>
        <w:t>2</w:t>
      </w:r>
      <w:r>
        <w:rPr>
          <w:rFonts w:eastAsia="Calibri"/>
          <w:sz w:val="20"/>
          <w:szCs w:val="20"/>
          <w:lang w:eastAsia="zh-CN"/>
        </w:rPr>
        <w:t xml:space="preserve"> (</w:t>
      </w:r>
      <w:hyperlink r:id="rId8">
        <w:r>
          <w:rPr>
            <w:rStyle w:val="LinkdaInternet"/>
            <w:rFonts w:eastAsia="Calibri"/>
            <w:sz w:val="20"/>
            <w:szCs w:val="20"/>
            <w:lang w:eastAsia="zh-CN"/>
          </w:rPr>
          <w:t>cinthia@uems.br</w:t>
        </w:r>
      </w:hyperlink>
      <w:r>
        <w:rPr>
          <w:rFonts w:eastAsia="Calibri"/>
          <w:sz w:val="20"/>
          <w:szCs w:val="20"/>
          <w:lang w:eastAsia="zh-CN"/>
        </w:rPr>
        <w:t xml:space="preserve">); </w:t>
      </w:r>
      <w:r>
        <w:rPr>
          <w:rFonts w:eastAsia="Calibri"/>
          <w:b/>
          <w:sz w:val="20"/>
          <w:szCs w:val="20"/>
          <w:lang w:eastAsia="zh-CN"/>
        </w:rPr>
        <w:t xml:space="preserve">FIORUCCI, </w:t>
      </w:r>
      <w:r>
        <w:rPr>
          <w:rFonts w:eastAsia="Calibri"/>
          <w:bCs/>
          <w:sz w:val="20"/>
          <w:szCs w:val="20"/>
          <w:lang w:eastAsia="zh-CN"/>
        </w:rPr>
        <w:t>Antonio Rogério</w:t>
      </w:r>
      <w:r>
        <w:rPr>
          <w:rFonts w:eastAsia="Calibri"/>
          <w:sz w:val="20"/>
          <w:szCs w:val="20"/>
          <w:vertAlign w:val="superscript"/>
          <w:lang w:eastAsia="zh-CN"/>
        </w:rPr>
        <w:t>3</w:t>
      </w:r>
      <w:r>
        <w:rPr>
          <w:rFonts w:eastAsia="Calibri"/>
          <w:sz w:val="20"/>
          <w:szCs w:val="20"/>
          <w:lang w:eastAsia="zh-CN"/>
        </w:rPr>
        <w:t xml:space="preserve"> (</w:t>
      </w:r>
      <w:hyperlink r:id="rId9">
        <w:r>
          <w:rPr>
            <w:rStyle w:val="LinkdaInternet"/>
            <w:rFonts w:eastAsia="Calibri"/>
            <w:sz w:val="20"/>
            <w:szCs w:val="20"/>
            <w:lang w:eastAsia="zh-CN"/>
          </w:rPr>
          <w:t>arfiorucci@uems.br</w:t>
        </w:r>
      </w:hyperlink>
      <w:r>
        <w:rPr>
          <w:rStyle w:val="LinkdaInternet"/>
          <w:rFonts w:eastAsia="Calibri"/>
          <w:color w:val="auto"/>
          <w:sz w:val="20"/>
          <w:szCs w:val="20"/>
          <w:u w:val="none"/>
          <w:lang w:eastAsia="zh-CN"/>
        </w:rPr>
        <w:t>)</w:t>
      </w:r>
      <w:r>
        <w:rPr>
          <w:rFonts w:eastAsia="Calibri"/>
          <w:sz w:val="20"/>
          <w:szCs w:val="20"/>
          <w:lang w:eastAsia="zh-CN"/>
        </w:rPr>
        <w:t xml:space="preserve">. </w:t>
      </w:r>
    </w:p>
    <w:p w14:paraId="6383F623" w14:textId="77777777" w:rsidR="0085239F" w:rsidRDefault="0000000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Discente do curso de Engenharia Física da UEMS;</w:t>
      </w:r>
    </w:p>
    <w:p w14:paraId="6383F624" w14:textId="77777777" w:rsidR="0085239F" w:rsidRDefault="00000000">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Técnica de nível superior do Centro de Estudos em Recursos Naturais (CERNA-UEMS);</w:t>
      </w:r>
    </w:p>
    <w:p w14:paraId="6383F625" w14:textId="77777777" w:rsidR="0085239F" w:rsidRDefault="00000000">
      <w:pPr>
        <w:pStyle w:val="Corpodetexto"/>
        <w:spacing w:after="283"/>
        <w:jc w:val="both"/>
        <w:rPr>
          <w:sz w:val="20"/>
          <w:szCs w:val="20"/>
        </w:rPr>
      </w:pPr>
      <w:r>
        <w:rPr>
          <w:rFonts w:eastAsia="Calibri"/>
          <w:sz w:val="20"/>
          <w:szCs w:val="20"/>
          <w:vertAlign w:val="superscript"/>
          <w:lang w:eastAsia="zh-CN"/>
        </w:rPr>
        <w:t>3</w:t>
      </w:r>
      <w:r>
        <w:rPr>
          <w:rFonts w:eastAsia="Calibri"/>
          <w:sz w:val="20"/>
          <w:szCs w:val="20"/>
          <w:lang w:eastAsia="zh-CN"/>
        </w:rPr>
        <w:t xml:space="preserve"> – </w:t>
      </w:r>
      <w:r>
        <w:rPr>
          <w:sz w:val="20"/>
        </w:rPr>
        <w:t>Docente</w:t>
      </w:r>
      <w:r>
        <w:rPr>
          <w:spacing w:val="-4"/>
          <w:sz w:val="20"/>
        </w:rPr>
        <w:t xml:space="preserve"> </w:t>
      </w:r>
      <w:r>
        <w:rPr>
          <w:sz w:val="20"/>
        </w:rPr>
        <w:t>do</w:t>
      </w:r>
      <w:r>
        <w:rPr>
          <w:spacing w:val="-3"/>
          <w:sz w:val="20"/>
        </w:rPr>
        <w:t xml:space="preserve"> </w:t>
      </w:r>
      <w:r>
        <w:rPr>
          <w:sz w:val="20"/>
        </w:rPr>
        <w:t>curso</w:t>
      </w:r>
      <w:r>
        <w:rPr>
          <w:spacing w:val="-3"/>
          <w:sz w:val="20"/>
        </w:rPr>
        <w:t xml:space="preserve"> </w:t>
      </w:r>
      <w:r>
        <w:rPr>
          <w:sz w:val="20"/>
        </w:rPr>
        <w:t>de</w:t>
      </w:r>
      <w:r>
        <w:rPr>
          <w:spacing w:val="-7"/>
          <w:sz w:val="20"/>
        </w:rPr>
        <w:t xml:space="preserve"> </w:t>
      </w:r>
      <w:r>
        <w:rPr>
          <w:sz w:val="20"/>
        </w:rPr>
        <w:t>Química</w:t>
      </w:r>
      <w:r>
        <w:rPr>
          <w:spacing w:val="-3"/>
          <w:sz w:val="20"/>
        </w:rPr>
        <w:t xml:space="preserve"> </w:t>
      </w:r>
      <w:r>
        <w:rPr>
          <w:sz w:val="20"/>
        </w:rPr>
        <w:t>Industrial</w:t>
      </w:r>
      <w:r>
        <w:rPr>
          <w:spacing w:val="-2"/>
          <w:sz w:val="20"/>
        </w:rPr>
        <w:t xml:space="preserve"> </w:t>
      </w:r>
      <w:r>
        <w:rPr>
          <w:sz w:val="20"/>
        </w:rPr>
        <w:t>e</w:t>
      </w:r>
      <w:r>
        <w:rPr>
          <w:spacing w:val="-4"/>
          <w:sz w:val="20"/>
        </w:rPr>
        <w:t xml:space="preserve"> </w:t>
      </w:r>
      <w:r>
        <w:rPr>
          <w:sz w:val="20"/>
        </w:rPr>
        <w:t>Química</w:t>
      </w:r>
      <w:r>
        <w:rPr>
          <w:spacing w:val="-2"/>
          <w:sz w:val="20"/>
        </w:rPr>
        <w:t xml:space="preserve"> </w:t>
      </w:r>
      <w:r>
        <w:rPr>
          <w:sz w:val="20"/>
        </w:rPr>
        <w:t>Licenciatura da UEMS e pesquisador do CERNA-UEMS</w:t>
      </w:r>
      <w:r>
        <w:rPr>
          <w:rFonts w:eastAsia="Calibri"/>
          <w:sz w:val="20"/>
          <w:szCs w:val="20"/>
          <w:lang w:eastAsia="zh-CN"/>
        </w:rPr>
        <w:t>.</w:t>
      </w:r>
    </w:p>
    <w:p w14:paraId="6383F626" w14:textId="24D9EDA6" w:rsidR="0085239F" w:rsidRDefault="00000000">
      <w:pPr>
        <w:spacing w:after="283"/>
        <w:jc w:val="both"/>
        <w:rPr>
          <w:sz w:val="20"/>
          <w:szCs w:val="20"/>
        </w:rPr>
      </w:pPr>
      <w:r>
        <w:rPr>
          <w:bCs/>
          <w:sz w:val="20"/>
          <w:szCs w:val="20"/>
          <w:lang w:eastAsia="pt-BR"/>
        </w:rPr>
        <w:t>As sementes de tomate (</w:t>
      </w:r>
      <w:r>
        <w:rPr>
          <w:bCs/>
          <w:i/>
          <w:iCs/>
          <w:sz w:val="20"/>
          <w:szCs w:val="20"/>
          <w:lang w:eastAsia="pt-BR"/>
        </w:rPr>
        <w:t>Lycopersicon esculentum</w:t>
      </w:r>
      <w:r>
        <w:rPr>
          <w:bCs/>
          <w:sz w:val="20"/>
          <w:szCs w:val="20"/>
          <w:lang w:eastAsia="pt-BR"/>
        </w:rPr>
        <w:t>), um subproduto do processamento do tomate (conservas, extrato, suco), contêm cerca de 20</w:t>
      </w:r>
      <w:r>
        <w:rPr>
          <w:rFonts w:eastAsia="AdvOT4b47d116+20"/>
          <w:bCs/>
          <w:sz w:val="20"/>
          <w:szCs w:val="20"/>
          <w:lang w:eastAsia="pt-BR"/>
        </w:rPr>
        <w:t>–</w:t>
      </w:r>
      <w:r>
        <w:rPr>
          <w:bCs/>
          <w:sz w:val="20"/>
          <w:szCs w:val="20"/>
          <w:lang w:eastAsia="pt-BR"/>
        </w:rPr>
        <w:t>25% de um óleo comestível, rico em ácido linoleico (50</w:t>
      </w:r>
      <w:r>
        <w:rPr>
          <w:rFonts w:eastAsia="AdvOT4b47d116+20"/>
          <w:bCs/>
          <w:sz w:val="20"/>
          <w:szCs w:val="20"/>
          <w:lang w:eastAsia="pt-BR"/>
        </w:rPr>
        <w:t>–</w:t>
      </w:r>
      <w:r>
        <w:rPr>
          <w:bCs/>
          <w:sz w:val="20"/>
          <w:szCs w:val="20"/>
          <w:lang w:eastAsia="pt-BR"/>
        </w:rPr>
        <w:t>60%) e colesterol</w:t>
      </w:r>
      <w:r>
        <w:rPr>
          <w:sz w:val="20"/>
          <w:szCs w:val="20"/>
        </w:rPr>
        <w:t>.</w:t>
      </w:r>
      <w:r>
        <w:rPr>
          <w:spacing w:val="-1"/>
          <w:sz w:val="20"/>
          <w:szCs w:val="20"/>
        </w:rPr>
        <w:t xml:space="preserve"> </w:t>
      </w:r>
      <w:r>
        <w:rPr>
          <w:sz w:val="20"/>
          <w:szCs w:val="20"/>
        </w:rPr>
        <w:t>Na indústria cosmética, o óleo de tomate é valorizado por sua capacidade de proteger a pele contra danos causados pelos raios UV, agindo como um protetor solar natural. Sua extração ocorre por meio de prensagem a frio das sementes do tomate</w:t>
      </w:r>
      <w:r>
        <w:rPr>
          <w:i/>
          <w:iCs/>
          <w:sz w:val="20"/>
          <w:szCs w:val="20"/>
        </w:rPr>
        <w:t xml:space="preserve">. </w:t>
      </w:r>
      <w:r>
        <w:rPr>
          <w:sz w:val="20"/>
          <w:szCs w:val="20"/>
          <w:lang w:eastAsia="pt-BR"/>
        </w:rPr>
        <w:t xml:space="preserve">Os diferentes ácidos graxos que compõem os triglicerídeos dos óleos vegetais estão diretamente relacionados com as propriedades físicas e químicas destes lipídios, por exemplo, a presença de duplas ligações dos ácidos graxos como as no </w:t>
      </w:r>
      <w:r>
        <w:rPr>
          <w:bCs/>
          <w:sz w:val="20"/>
          <w:szCs w:val="20"/>
          <w:lang w:eastAsia="pt-BR"/>
        </w:rPr>
        <w:t xml:space="preserve">ácido linoleico </w:t>
      </w:r>
      <w:r>
        <w:rPr>
          <w:sz w:val="20"/>
          <w:szCs w:val="20"/>
          <w:lang w:eastAsia="pt-BR"/>
        </w:rPr>
        <w:t>confere menor estabilidade oxidativa aos óleos. O processo de oxidação nos óleos é responsável pela redução do tempo de vida de prateleira, causando alterações em parâmetros de qualidade como cor, odor, sabor e redução da sua capacidade nutricional.</w:t>
      </w:r>
      <w:r>
        <w:rPr>
          <w:sz w:val="20"/>
          <w:szCs w:val="20"/>
        </w:rPr>
        <w:t xml:space="preserve"> Este estudo teve como principal objetivo avaliar a ação antioxidante de cinco biomóleculas adicionadas ao óleo de semente de tomate por meio de medidas de estabilidade oxidativa  pelo método de Rancimat. As medidas de estabilidade oxidativa do óleo de semente de tomate foram realizadas de acordo com a norma AOCS Cd</w:t>
      </w:r>
      <w:r>
        <w:rPr>
          <w:spacing w:val="1"/>
          <w:sz w:val="20"/>
          <w:szCs w:val="20"/>
        </w:rPr>
        <w:t xml:space="preserve"> </w:t>
      </w:r>
      <w:r>
        <w:rPr>
          <w:sz w:val="20"/>
          <w:szCs w:val="20"/>
        </w:rPr>
        <w:t>12b-92, sob fluxo de ar seco de 9 L h</w:t>
      </w:r>
      <w:r>
        <w:rPr>
          <w:sz w:val="20"/>
          <w:szCs w:val="20"/>
          <w:vertAlign w:val="superscript"/>
        </w:rPr>
        <w:t>-1</w:t>
      </w:r>
      <w:r>
        <w:rPr>
          <w:sz w:val="20"/>
          <w:szCs w:val="20"/>
        </w:rPr>
        <w:t xml:space="preserve"> a 100 ºC. Os produtos voláteis de degradação do óleo foram</w:t>
      </w:r>
      <w:r>
        <w:rPr>
          <w:spacing w:val="1"/>
          <w:sz w:val="20"/>
          <w:szCs w:val="20"/>
        </w:rPr>
        <w:t xml:space="preserve"> </w:t>
      </w:r>
      <w:r>
        <w:rPr>
          <w:sz w:val="20"/>
          <w:szCs w:val="20"/>
        </w:rPr>
        <w:t xml:space="preserve">coletados em tubos contendo 50,0 mL de água destilada e deionizada. </w:t>
      </w:r>
      <w:r>
        <w:rPr>
          <w:rStyle w:val="tlid-translation"/>
          <w:sz w:val="20"/>
          <w:szCs w:val="20"/>
        </w:rPr>
        <w:t xml:space="preserve">A condutividade da água foi monitorada para determinar o </w:t>
      </w:r>
      <w:r>
        <w:rPr>
          <w:sz w:val="20"/>
          <w:szCs w:val="20"/>
        </w:rPr>
        <w:t>índice de estabilidade oxidativa (OSI)</w:t>
      </w:r>
      <w:r>
        <w:rPr>
          <w:rStyle w:val="tlid-translation"/>
          <w:sz w:val="20"/>
          <w:szCs w:val="20"/>
        </w:rPr>
        <w:t xml:space="preserve"> durante o teste de oxidação acelerado. </w:t>
      </w:r>
      <w:r>
        <w:rPr>
          <w:sz w:val="20"/>
          <w:szCs w:val="20"/>
        </w:rPr>
        <w:t>O</w:t>
      </w:r>
      <w:r>
        <w:rPr>
          <w:rStyle w:val="fontstyle01"/>
          <w:sz w:val="20"/>
          <w:szCs w:val="20"/>
        </w:rPr>
        <w:t xml:space="preserve"> OSI foi determinado como o período de indução obtido graficamente pela curva de condutividade da água versus o tempo, usando o método de segunda derivada, pelo software StabNet</w:t>
      </w:r>
      <w:r>
        <w:rPr>
          <w:rStyle w:val="fontstyle01"/>
          <w:rFonts w:ascii="Symbol" w:eastAsia="Symbol" w:hAnsi="Symbol" w:cs="Symbol"/>
          <w:sz w:val="20"/>
          <w:szCs w:val="20"/>
        </w:rPr>
        <w:t></w:t>
      </w:r>
      <w:r>
        <w:rPr>
          <w:rStyle w:val="fontstyle01"/>
          <w:sz w:val="20"/>
          <w:szCs w:val="20"/>
        </w:rPr>
        <w:t xml:space="preserve">. </w:t>
      </w:r>
      <w:r>
        <w:rPr>
          <w:sz w:val="20"/>
          <w:szCs w:val="20"/>
        </w:rPr>
        <w:t>Foi avaliada a ação antioxidante de cinco biomoléculas, sendo elas ácido L-ascórbico, ácido cítrico, curcumina, piperina e L-triptofano, adicionadas individualmente ao óleo de semente de tomate em concentrações conhecidas. A ação do antioxidante sintético BHA adicionado na concentração de 200 mg kg</w:t>
      </w:r>
      <w:r>
        <w:rPr>
          <w:sz w:val="20"/>
          <w:szCs w:val="20"/>
          <w:vertAlign w:val="superscript"/>
        </w:rPr>
        <w:t>-1</w:t>
      </w:r>
      <w:r>
        <w:rPr>
          <w:sz w:val="20"/>
          <w:szCs w:val="20"/>
        </w:rPr>
        <w:t xml:space="preserve"> foi avaliada sendo o valor de OSI usado para fins de comparação. A adição de BHA elevou o OSI de apenas 2,39%. Ácido cítrico e piperina adicionados na concentração de 500 mg kg</w:t>
      </w:r>
      <w:r>
        <w:rPr>
          <w:sz w:val="20"/>
          <w:szCs w:val="20"/>
          <w:vertAlign w:val="superscript"/>
        </w:rPr>
        <w:t>-1</w:t>
      </w:r>
      <w:r>
        <w:rPr>
          <w:sz w:val="20"/>
          <w:szCs w:val="20"/>
        </w:rPr>
        <w:t xml:space="preserve"> não tiveram efeito antioxidante enquanto curcumina a 500 e 1000 mg kg</w:t>
      </w:r>
      <w:r>
        <w:rPr>
          <w:sz w:val="20"/>
          <w:szCs w:val="20"/>
          <w:vertAlign w:val="superscript"/>
        </w:rPr>
        <w:t>-1</w:t>
      </w:r>
      <w:r>
        <w:rPr>
          <w:sz w:val="20"/>
          <w:szCs w:val="20"/>
        </w:rPr>
        <w:t xml:space="preserve"> levou a uma diminuição da estabilidade oxidativa com redução de OSI de 3,56 e 1,19%, respectivamente. L-triptofano na concentração de 500 mg kg</w:t>
      </w:r>
      <w:r>
        <w:rPr>
          <w:sz w:val="20"/>
          <w:szCs w:val="20"/>
          <w:vertAlign w:val="superscript"/>
        </w:rPr>
        <w:t>-1</w:t>
      </w:r>
      <w:r>
        <w:rPr>
          <w:sz w:val="20"/>
          <w:szCs w:val="20"/>
        </w:rPr>
        <w:t xml:space="preserve"> resultou em aumento de OSI de apenas 9,73%. O ácido L-ascórbico (AA) apresentou maior ação antioxidante elevando o valor de OSI de 25,3 e 39,9% para concentrações de 250 e 500 mg kg</w:t>
      </w:r>
      <w:r>
        <w:rPr>
          <w:sz w:val="20"/>
          <w:szCs w:val="20"/>
          <w:vertAlign w:val="superscript"/>
        </w:rPr>
        <w:t>-1</w:t>
      </w:r>
      <w:r>
        <w:rPr>
          <w:sz w:val="20"/>
          <w:szCs w:val="20"/>
        </w:rPr>
        <w:t>, respectivamente</w:t>
      </w:r>
      <w:r>
        <w:rPr>
          <w:sz w:val="20"/>
          <w:szCs w:val="20"/>
          <w:vertAlign w:val="superscript"/>
        </w:rPr>
        <w:t>.</w:t>
      </w:r>
      <w:r>
        <w:rPr>
          <w:sz w:val="20"/>
          <w:szCs w:val="20"/>
        </w:rPr>
        <w:t>. O efeito da concentração de AA adicionado ao óleo no índice de estabilidade oxidativa (OSI) foi também avaliado, evidenciando uma elevação linear do valor de OSI com a concentração (Co) no intervalo de 0 a 500 mg kg</w:t>
      </w:r>
      <w:r>
        <w:rPr>
          <w:sz w:val="20"/>
          <w:szCs w:val="20"/>
          <w:vertAlign w:val="superscript"/>
        </w:rPr>
        <w:t>-1</w:t>
      </w:r>
      <w:r>
        <w:rPr>
          <w:sz w:val="20"/>
          <w:szCs w:val="20"/>
        </w:rPr>
        <w:t xml:space="preserve">. O gráfico de lnCo versus </w:t>
      </w:r>
      <w:r>
        <w:rPr>
          <w:rFonts w:ascii="Symbol" w:eastAsia="Symbol" w:hAnsi="Symbol" w:cs="Symbol"/>
          <w:sz w:val="20"/>
          <w:szCs w:val="20"/>
        </w:rPr>
        <w:t></w:t>
      </w:r>
      <w:r>
        <w:rPr>
          <w:sz w:val="20"/>
          <w:szCs w:val="20"/>
        </w:rPr>
        <w:t>OSI (difrença de OSI com e sem antioxidante) apresentou uma curva linear (r = 0,98) indicando que o consumo de AA como reagente é de primeira ordem no processo de oxidação. Esses resultados promissores favorecem estudos futuros de cinética de oxidação do óleo de semente de tomate puro (controle) e com adição de concentração conhecida do AA visando estimar a elevação do tempo de vida de prateleira.</w:t>
      </w:r>
    </w:p>
    <w:p w14:paraId="6383F627" w14:textId="77777777" w:rsidR="0085239F" w:rsidRDefault="00000000">
      <w:pPr>
        <w:spacing w:after="283"/>
        <w:jc w:val="both"/>
        <w:rPr>
          <w:sz w:val="20"/>
          <w:szCs w:val="20"/>
        </w:rPr>
      </w:pPr>
      <w:r>
        <w:rPr>
          <w:b/>
          <w:bCs/>
          <w:sz w:val="20"/>
          <w:szCs w:val="20"/>
          <w:lang w:eastAsia="pt-BR"/>
        </w:rPr>
        <w:t>PALAVRAS-CHAVE:</w:t>
      </w:r>
      <w:r>
        <w:rPr>
          <w:sz w:val="20"/>
          <w:szCs w:val="20"/>
          <w:lang w:eastAsia="pt-BR"/>
        </w:rPr>
        <w:t xml:space="preserve"> índice de estabilidade oxidativa, método de Rancimat, oxidação lipídica.</w:t>
      </w:r>
    </w:p>
    <w:p w14:paraId="6383F628" w14:textId="77777777" w:rsidR="0085239F" w:rsidRDefault="00000000">
      <w:pPr>
        <w:jc w:val="both"/>
        <w:rPr>
          <w:sz w:val="20"/>
          <w:szCs w:val="20"/>
        </w:rPr>
      </w:pPr>
      <w:r>
        <w:rPr>
          <w:b/>
          <w:bCs/>
          <w:sz w:val="20"/>
          <w:szCs w:val="20"/>
          <w:lang w:eastAsia="pt-BR"/>
        </w:rPr>
        <w:t>AGRADECIMENTOS:</w:t>
      </w:r>
      <w:r>
        <w:rPr>
          <w:sz w:val="20"/>
          <w:szCs w:val="20"/>
          <w:lang w:eastAsia="pt-BR"/>
        </w:rPr>
        <w:t xml:space="preserve"> Ao CNPq pela bolsa de IC de TFMP. Ao CERNA-UEMS pela estrutura física para realização da pesquisa.</w:t>
      </w:r>
    </w:p>
    <w:p w14:paraId="6383F629" w14:textId="77777777" w:rsidR="0085239F" w:rsidRDefault="0085239F">
      <w:pPr>
        <w:jc w:val="both"/>
        <w:rPr>
          <w:sz w:val="20"/>
          <w:szCs w:val="20"/>
        </w:rPr>
      </w:pPr>
    </w:p>
    <w:sectPr w:rsidR="0085239F">
      <w:headerReference w:type="even" r:id="rId10"/>
      <w:headerReference w:type="default" r:id="rId11"/>
      <w:footerReference w:type="even" r:id="rId12"/>
      <w:footerReference w:type="default" r:id="rId13"/>
      <w:headerReference w:type="first" r:id="rId14"/>
      <w:footerReference w:type="first" r:id="rId15"/>
      <w:pgSz w:w="11906" w:h="16838"/>
      <w:pgMar w:top="1700" w:right="1134" w:bottom="1133" w:left="1134" w:header="283" w:footer="283" w:gutter="0"/>
      <w:cols w:space="720"/>
      <w:formProt w:val="0"/>
      <w:docGrid w:linePitch="10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84C00" w14:textId="77777777" w:rsidR="002313B8" w:rsidRDefault="002313B8">
      <w:r>
        <w:separator/>
      </w:r>
    </w:p>
  </w:endnote>
  <w:endnote w:type="continuationSeparator" w:id="0">
    <w:p w14:paraId="209FC703" w14:textId="77777777" w:rsidR="002313B8" w:rsidRDefault="0023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dvOT4b47d116+20">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C" w14:textId="77777777" w:rsidR="0085239F" w:rsidRDefault="0085239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D" w14:textId="77777777" w:rsidR="0085239F" w:rsidRDefault="0085239F">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F" w14:textId="77777777" w:rsidR="0085239F" w:rsidRDefault="0085239F">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6F0AC" w14:textId="77777777" w:rsidR="002313B8" w:rsidRDefault="002313B8">
      <w:r>
        <w:separator/>
      </w:r>
    </w:p>
  </w:footnote>
  <w:footnote w:type="continuationSeparator" w:id="0">
    <w:p w14:paraId="4C030ABA" w14:textId="77777777" w:rsidR="002313B8" w:rsidRDefault="0023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A" w14:textId="77777777" w:rsidR="0085239F" w:rsidRDefault="0085239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B" w14:textId="77777777" w:rsidR="0085239F" w:rsidRDefault="00000000">
    <w:pPr>
      <w:pStyle w:val="Cabealho"/>
    </w:pPr>
    <w:r>
      <w:rPr>
        <w:noProof/>
      </w:rPr>
      <w:drawing>
        <wp:anchor distT="0" distB="0" distL="0" distR="0" simplePos="0" relativeHeight="251654144" behindDoc="0" locked="0" layoutInCell="0" allowOverlap="1" wp14:anchorId="6383F630" wp14:editId="6383F631">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56192" behindDoc="0" locked="0" layoutInCell="0" allowOverlap="1" wp14:anchorId="6383F632" wp14:editId="6383F633">
          <wp:simplePos x="0" y="0"/>
          <wp:positionH relativeFrom="column">
            <wp:posOffset>5133340</wp:posOffset>
          </wp:positionH>
          <wp:positionV relativeFrom="paragraph">
            <wp:posOffset>9798050</wp:posOffset>
          </wp:positionV>
          <wp:extent cx="994410" cy="481965"/>
          <wp:effectExtent l="0" t="0" r="0" b="0"/>
          <wp:wrapSquare wrapText="largest"/>
          <wp:docPr id="2"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8"/>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r>
    <w:r>
      <w:rPr>
        <w:noProof/>
      </w:rPr>
      <w:drawing>
        <wp:anchor distT="0" distB="0" distL="114300" distR="114300" simplePos="0" relativeHeight="251658240" behindDoc="1" locked="0" layoutInCell="0" allowOverlap="1" wp14:anchorId="6383F634" wp14:editId="6383F635">
          <wp:simplePos x="0" y="0"/>
          <wp:positionH relativeFrom="column">
            <wp:posOffset>635</wp:posOffset>
          </wp:positionH>
          <wp:positionV relativeFrom="paragraph">
            <wp:posOffset>9782810</wp:posOffset>
          </wp:positionV>
          <wp:extent cx="1605915" cy="453390"/>
          <wp:effectExtent l="0" t="0" r="0" b="0"/>
          <wp:wrapSquare wrapText="bothSides"/>
          <wp:docPr id="3"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5"/>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60288" behindDoc="1" locked="0" layoutInCell="0" allowOverlap="1" wp14:anchorId="6383F636" wp14:editId="6383F637">
          <wp:simplePos x="0" y="0"/>
          <wp:positionH relativeFrom="column">
            <wp:posOffset>2721610</wp:posOffset>
          </wp:positionH>
          <wp:positionV relativeFrom="paragraph">
            <wp:posOffset>9788525</wp:posOffset>
          </wp:positionV>
          <wp:extent cx="1186815" cy="459740"/>
          <wp:effectExtent l="0" t="0" r="0" b="0"/>
          <wp:wrapSquare wrapText="largest"/>
          <wp:docPr id="4"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6"/>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F62E" w14:textId="77777777" w:rsidR="0085239F" w:rsidRDefault="00000000">
    <w:pPr>
      <w:pStyle w:val="Cabealho"/>
    </w:pPr>
    <w:r>
      <w:rPr>
        <w:noProof/>
      </w:rPr>
      <w:drawing>
        <wp:anchor distT="0" distB="0" distL="0" distR="0" simplePos="0" relativeHeight="251655168" behindDoc="0" locked="0" layoutInCell="0" allowOverlap="1" wp14:anchorId="6383F638" wp14:editId="6383F639">
          <wp:simplePos x="0" y="0"/>
          <wp:positionH relativeFrom="page">
            <wp:posOffset>180975</wp:posOffset>
          </wp:positionH>
          <wp:positionV relativeFrom="paragraph">
            <wp:posOffset>-8255</wp:posOffset>
          </wp:positionV>
          <wp:extent cx="7185660" cy="899160"/>
          <wp:effectExtent l="0" t="0" r="0" b="0"/>
          <wp:wrapSquare wrapText="largest"/>
          <wp:docPr id="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57216" behindDoc="0" locked="0" layoutInCell="0" allowOverlap="1" wp14:anchorId="6383F63A" wp14:editId="6383F63B">
          <wp:simplePos x="0" y="0"/>
          <wp:positionH relativeFrom="column">
            <wp:posOffset>5133340</wp:posOffset>
          </wp:positionH>
          <wp:positionV relativeFrom="paragraph">
            <wp:posOffset>9798050</wp:posOffset>
          </wp:positionV>
          <wp:extent cx="994410" cy="481965"/>
          <wp:effectExtent l="0" t="0" r="0" b="0"/>
          <wp:wrapSquare wrapText="largest"/>
          <wp:docPr id="6"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8"/>
                  <pic:cNvPicPr>
                    <a:picLocks noChangeAspect="1" noChangeArrowheads="1"/>
                  </pic:cNvPicPr>
                </pic:nvPicPr>
                <pic:blipFill>
                  <a:blip r:embed="rId2"/>
                  <a:srcRect l="7824" t="19717" r="6114" b="21241"/>
                  <a:stretch>
                    <a:fillRect/>
                  </a:stretch>
                </pic:blipFill>
                <pic:spPr bwMode="auto">
                  <a:xfrm>
                    <a:off x="0" y="0"/>
                    <a:ext cx="994410" cy="481965"/>
                  </a:xfrm>
                  <a:prstGeom prst="rect">
                    <a:avLst/>
                  </a:prstGeom>
                </pic:spPr>
              </pic:pic>
            </a:graphicData>
          </a:graphic>
        </wp:anchor>
      </w:drawing>
    </w:r>
    <w:r>
      <w:rPr>
        <w:noProof/>
      </w:rPr>
      <w:drawing>
        <wp:anchor distT="0" distB="0" distL="114300" distR="114300" simplePos="0" relativeHeight="251659264" behindDoc="1" locked="0" layoutInCell="0" allowOverlap="1" wp14:anchorId="6383F63C" wp14:editId="6383F63D">
          <wp:simplePos x="0" y="0"/>
          <wp:positionH relativeFrom="column">
            <wp:posOffset>635</wp:posOffset>
          </wp:positionH>
          <wp:positionV relativeFrom="paragraph">
            <wp:posOffset>9782810</wp:posOffset>
          </wp:positionV>
          <wp:extent cx="1605915" cy="453390"/>
          <wp:effectExtent l="0" t="0" r="0" b="0"/>
          <wp:wrapSquare wrapText="bothSides"/>
          <wp:docPr id="7"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pic:cNvPicPr>
                    <a:picLocks noChangeAspect="1" noChangeArrowheads="1"/>
                  </pic:cNvPicPr>
                </pic:nvPicPr>
                <pic:blipFill>
                  <a:blip r:embed="rId3"/>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61312" behindDoc="1" locked="0" layoutInCell="0" allowOverlap="1" wp14:anchorId="6383F63E" wp14:editId="6383F63F">
          <wp:simplePos x="0" y="0"/>
          <wp:positionH relativeFrom="column">
            <wp:posOffset>2721610</wp:posOffset>
          </wp:positionH>
          <wp:positionV relativeFrom="paragraph">
            <wp:posOffset>9788525</wp:posOffset>
          </wp:positionV>
          <wp:extent cx="1186815" cy="459740"/>
          <wp:effectExtent l="0" t="0" r="0" b="0"/>
          <wp:wrapSquare wrapText="largest"/>
          <wp:docPr id="8"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pic:cNvPicPr>
                    <a:picLocks noChangeAspect="1" noChangeArrowheads="1"/>
                  </pic:cNvPicPr>
                </pic:nvPicPr>
                <pic:blipFill>
                  <a:blip r:embed="rId4"/>
                  <a:stretch>
                    <a:fillRect/>
                  </a:stretch>
                </pic:blipFill>
                <pic:spPr bwMode="auto">
                  <a:xfrm>
                    <a:off x="0" y="0"/>
                    <a:ext cx="1186815" cy="4597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9F"/>
    <w:rsid w:val="002313B8"/>
    <w:rsid w:val="00474EDA"/>
    <w:rsid w:val="00807813"/>
    <w:rsid w:val="0085239F"/>
    <w:rsid w:val="008A0250"/>
    <w:rsid w:val="008B5B98"/>
    <w:rsid w:val="00BC0065"/>
    <w:rsid w:val="00BF48CF"/>
    <w:rsid w:val="00DE0E1E"/>
    <w:rsid w:val="00EE2BE0"/>
    <w:rsid w:val="00F6297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F61F"/>
  <w15:docId w15:val="{672345C4-07BA-4873-B3D7-225AFA14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paragraph" w:styleId="Ttulo3">
    <w:name w:val="heading 3"/>
    <w:basedOn w:val="Normal"/>
    <w:next w:val="Normal"/>
    <w:link w:val="Ttulo3Char"/>
    <w:uiPriority w:val="9"/>
    <w:semiHidden/>
    <w:unhideWhenUsed/>
    <w:qFormat/>
    <w:rsid w:val="00012A4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C3575A"/>
    <w:rPr>
      <w:color w:val="0000FF" w:themeColor="hyperlink"/>
      <w:u w:val="single"/>
    </w:rPr>
  </w:style>
  <w:style w:type="character" w:customStyle="1" w:styleId="Ttulo10">
    <w:name w:val="Título #1_"/>
    <w:qFormat/>
    <w:rsid w:val="005A79B9"/>
    <w:rPr>
      <w:rFonts w:ascii="Arial" w:hAnsi="Arial" w:cs="Arial"/>
      <w:b/>
      <w:bCs/>
      <w:sz w:val="55"/>
      <w:szCs w:val="55"/>
      <w:u w:val="none"/>
    </w:rPr>
  </w:style>
  <w:style w:type="character" w:styleId="MenoPendente">
    <w:name w:val="Unresolved Mention"/>
    <w:basedOn w:val="Fontepargpadro"/>
    <w:uiPriority w:val="99"/>
    <w:semiHidden/>
    <w:unhideWhenUsed/>
    <w:qFormat/>
    <w:rsid w:val="00C3575A"/>
    <w:rPr>
      <w:color w:val="605E5C"/>
      <w:shd w:val="clear" w:color="auto" w:fill="E1DFDD"/>
    </w:rPr>
  </w:style>
  <w:style w:type="character" w:customStyle="1" w:styleId="Ttulo3Char">
    <w:name w:val="Título 3 Char"/>
    <w:basedOn w:val="Fontepargpadro"/>
    <w:link w:val="Ttulo3"/>
    <w:uiPriority w:val="9"/>
    <w:semiHidden/>
    <w:qFormat/>
    <w:rsid w:val="00012A4C"/>
    <w:rPr>
      <w:rFonts w:asciiTheme="majorHAnsi" w:eastAsiaTheme="majorEastAsia" w:hAnsiTheme="majorHAnsi" w:cstheme="majorBidi"/>
      <w:color w:val="243F60" w:themeColor="accent1" w:themeShade="7F"/>
      <w:sz w:val="24"/>
      <w:szCs w:val="24"/>
      <w:lang w:val="pt-PT"/>
    </w:rPr>
  </w:style>
  <w:style w:type="character" w:customStyle="1" w:styleId="tlid-translation">
    <w:name w:val="tlid-translation"/>
    <w:basedOn w:val="Fontepargpadro"/>
    <w:qFormat/>
    <w:rsid w:val="002436B0"/>
  </w:style>
  <w:style w:type="character" w:customStyle="1" w:styleId="fontstyle01">
    <w:name w:val="fontstyle01"/>
    <w:qFormat/>
    <w:rsid w:val="002436B0"/>
    <w:rPr>
      <w:rFonts w:ascii="Times New Roman" w:hAnsi="Times New Roman"/>
      <w:color w:val="000000"/>
      <w:sz w:val="24"/>
    </w:rPr>
  </w:style>
  <w:style w:type="character" w:customStyle="1" w:styleId="Numeraodelinhas">
    <w:name w:val="Numeração de linhas"/>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Reviso">
    <w:name w:val="Revision"/>
    <w:hidden/>
    <w:uiPriority w:val="99"/>
    <w:semiHidden/>
    <w:rsid w:val="00474EDA"/>
    <w:pPr>
      <w:suppressAutoHyphens w:val="0"/>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inthia@uems.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maciel73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fiorucci@uem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662</Words>
  <Characters>3576</Characters>
  <Application>Microsoft Office Word</Application>
  <DocSecurity>0</DocSecurity>
  <Lines>29</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Julia Thiemy</cp:lastModifiedBy>
  <cp:revision>2</cp:revision>
  <cp:lastPrinted>2023-01-31T14:18:00Z</cp:lastPrinted>
  <dcterms:created xsi:type="dcterms:W3CDTF">2024-08-09T19:19:00Z</dcterms:created>
  <dcterms:modified xsi:type="dcterms:W3CDTF">2024-08-09T19:19:00Z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