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181610</wp:posOffset>
            </wp:positionH>
            <wp:positionV relativeFrom="page">
              <wp:posOffset>171450</wp:posOffset>
            </wp:positionV>
            <wp:extent cx="7184390" cy="89852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39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before="41" w:after="0"/>
        <w:rPr/>
      </w:pPr>
      <w:r>
        <w:rPr/>
      </w:r>
    </w:p>
    <w:p>
      <w:pPr>
        <w:pStyle w:val="Corpodotexto"/>
        <w:spacing w:before="41" w:after="0"/>
        <w:rPr/>
      </w:pPr>
      <w:r>
        <w:rPr/>
      </w:r>
    </w:p>
    <w:p>
      <w:pPr>
        <w:pStyle w:val="Corpodotexto"/>
        <w:spacing w:before="39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Avalição da influencia de nanoparticulas biogênicas de prata nos parametros germinativos do algodoeiro (</w:t>
      </w:r>
      <w:r>
        <w:rPr>
          <w:b/>
          <w:bCs/>
          <w:i/>
          <w:iCs/>
          <w:sz w:val="20"/>
          <w:szCs w:val="20"/>
        </w:rPr>
        <w:t>Gossypium sp L Malvaceae</w:t>
      </w:r>
      <w:r>
        <w:rPr>
          <w:b/>
          <w:bCs/>
          <w:sz w:val="20"/>
          <w:szCs w:val="20"/>
        </w:rPr>
        <w:t>) cultivar branco</w:t>
      </w:r>
    </w:p>
    <w:p>
      <w:pPr>
        <w:pStyle w:val="Normal"/>
        <w:tabs>
          <w:tab w:val="clear" w:pos="720"/>
          <w:tab w:val="left" w:pos="260" w:leader="none"/>
        </w:tabs>
        <w:spacing w:lineRule="auto" w:line="276"/>
        <w:ind w:right="129" w:hanging="0"/>
        <w:rPr>
          <w:sz w:val="24"/>
        </w:rPr>
      </w:pPr>
      <w:r>
        <w:rPr/>
      </w:r>
    </w:p>
    <w:p>
      <w:pPr>
        <w:pStyle w:val="Normal"/>
        <w:tabs>
          <w:tab w:val="clear" w:pos="720"/>
          <w:tab w:val="left" w:pos="260" w:leader="none"/>
        </w:tabs>
        <w:spacing w:lineRule="auto" w:line="276"/>
        <w:ind w:right="129" w:hanging="0"/>
        <w:rPr>
          <w:sz w:val="24"/>
        </w:rPr>
      </w:pPr>
      <w:r>
        <w:rPr>
          <w:rFonts w:eastAsia="Times New Roman" w:cs="Times New Roman"/>
          <w:b w:val="false"/>
          <w:bCs/>
          <w:i w:val="false"/>
          <w:iCs/>
          <w:caps w:val="false"/>
          <w:smallCaps w:val="false"/>
          <w:color w:val="333333"/>
          <w:spacing w:val="0"/>
          <w:sz w:val="20"/>
          <w:szCs w:val="20"/>
          <w:lang w:val="pt-PT"/>
        </w:rPr>
        <w:t>Ciências Exatas e da Terra</w:t>
      </w:r>
      <w:r>
        <w:rPr>
          <w:rFonts w:eastAsia="Times New Roman" w:cs="Times New Roman"/>
          <w:bCs/>
          <w:iCs/>
          <w:sz w:val="20"/>
          <w:szCs w:val="20"/>
          <w:lang w:val="pt-PT"/>
        </w:rPr>
        <w:t xml:space="preserve"> </w:t>
      </w:r>
    </w:p>
    <w:p>
      <w:pPr>
        <w:pStyle w:val="Normal"/>
        <w:tabs>
          <w:tab w:val="clear" w:pos="720"/>
          <w:tab w:val="left" w:pos="260" w:leader="none"/>
        </w:tabs>
        <w:spacing w:lineRule="auto" w:line="276"/>
        <w:ind w:right="129" w:hanging="0"/>
        <w:rPr>
          <w:b/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tabs>
          <w:tab w:val="clear" w:pos="720"/>
          <w:tab w:val="left" w:pos="268" w:leader="none"/>
        </w:tabs>
        <w:spacing w:lineRule="auto" w:line="276"/>
        <w:rPr>
          <w:i/>
          <w:i/>
          <w:sz w:val="20"/>
          <w:szCs w:val="20"/>
        </w:rPr>
      </w:pPr>
      <w:r>
        <w:rPr>
          <w:b/>
          <w:bCs/>
          <w:sz w:val="20"/>
          <w:szCs w:val="20"/>
        </w:rPr>
        <w:t xml:space="preserve">OLIVEIRA, </w:t>
      </w:r>
      <w:r>
        <w:rPr>
          <w:sz w:val="20"/>
          <w:szCs w:val="20"/>
        </w:rPr>
        <w:t>Giulia Almeida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(almeidagiulia76@gmail.com)  </w:t>
      </w:r>
      <w:r>
        <w:rPr>
          <w:b/>
          <w:bCs/>
          <w:sz w:val="20"/>
          <w:szCs w:val="20"/>
        </w:rPr>
        <w:t xml:space="preserve">SANTIAGO, </w:t>
      </w:r>
      <w:r>
        <w:rPr>
          <w:sz w:val="20"/>
          <w:szCs w:val="20"/>
        </w:rPr>
        <w:t>Etenaldo Felipe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(felipe@uems.br) </w:t>
      </w:r>
      <w:r>
        <w:rPr>
          <w:b/>
          <w:bCs/>
          <w:color w:val="000000"/>
          <w:sz w:val="20"/>
          <w:szCs w:val="20"/>
          <w:lang w:eastAsia="pt-BR"/>
        </w:rPr>
        <w:t>ARRUDA</w:t>
      </w:r>
      <w:r>
        <w:rPr>
          <w:color w:val="000000"/>
          <w:sz w:val="20"/>
          <w:szCs w:val="20"/>
          <w:lang w:eastAsia="pt-BR"/>
        </w:rPr>
        <w:t>, Gilberto José</w:t>
      </w:r>
      <w:r>
        <w:rPr>
          <w:color w:val="000000"/>
          <w:sz w:val="20"/>
          <w:szCs w:val="20"/>
          <w:vertAlign w:val="superscript"/>
          <w:lang w:eastAsia="pt-BR"/>
        </w:rPr>
        <w:t>3</w:t>
      </w:r>
      <w:r>
        <w:rPr>
          <w:color w:val="000000"/>
          <w:sz w:val="20"/>
          <w:szCs w:val="20"/>
          <w:lang w:eastAsia="pt-BR"/>
        </w:rPr>
        <w:t xml:space="preserve"> (</w:t>
      </w:r>
      <w:hyperlink r:id="rId3">
        <w:r>
          <w:rPr>
            <w:rStyle w:val="LinkdaInternet"/>
            <w:bCs/>
            <w:sz w:val="20"/>
            <w:szCs w:val="20"/>
            <w:lang w:eastAsia="pt-BR"/>
          </w:rPr>
          <w:t>arruda@uems.br</w:t>
        </w:r>
      </w:hyperlink>
      <w:r>
        <w:rPr/>
        <w:t>)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FERNANDES, </w:t>
      </w:r>
      <w:r>
        <w:rPr>
          <w:sz w:val="20"/>
          <w:szCs w:val="20"/>
        </w:rPr>
        <w:t>Simone Yasuda</w:t>
      </w:r>
      <w:r>
        <w:rPr>
          <w:sz w:val="20"/>
          <w:szCs w:val="20"/>
          <w:vertAlign w:val="superscript"/>
        </w:rPr>
        <w:t xml:space="preserve">4   </w:t>
      </w:r>
      <w:r>
        <w:rPr>
          <w:sz w:val="20"/>
          <w:szCs w:val="20"/>
        </w:rPr>
        <w:t>(simoneyasuda@hotmail.com)</w:t>
      </w:r>
    </w:p>
    <w:p>
      <w:pPr>
        <w:pStyle w:val="Corpodotexto"/>
        <w:spacing w:before="39" w:after="0"/>
        <w:rPr/>
      </w:pPr>
      <w:r>
        <w:rPr/>
      </w:r>
    </w:p>
    <w:p>
      <w:pPr>
        <w:pStyle w:val="Normal"/>
        <w:tabs>
          <w:tab w:val="clear" w:pos="720"/>
          <w:tab w:val="left" w:pos="318" w:leader="none"/>
        </w:tabs>
        <w:spacing w:lineRule="auto" w:line="276"/>
        <w:ind w:right="118" w:hanging="0"/>
        <w:rPr>
          <w:bCs/>
          <w:color w:val="000000"/>
          <w:sz w:val="20"/>
          <w:szCs w:val="20"/>
          <w:lang w:eastAsia="pt-BR"/>
        </w:rPr>
      </w:pPr>
      <w:r>
        <w:rPr>
          <w:sz w:val="24"/>
          <w:vertAlign w:val="superscript"/>
        </w:rPr>
        <w:t xml:space="preserve">1 </w:t>
      </w:r>
      <w:r>
        <w:rPr>
          <w:sz w:val="20"/>
          <w:szCs w:val="20"/>
        </w:rPr>
        <w:t xml:space="preserve">Discente do curso de </w:t>
      </w:r>
      <w:r>
        <w:rPr>
          <w:bCs/>
          <w:color w:val="000000"/>
          <w:sz w:val="20"/>
          <w:szCs w:val="20"/>
          <w:lang w:eastAsia="pt-BR"/>
        </w:rPr>
        <w:t>ciências biológicas UEMS-Dourados</w:t>
      </w:r>
    </w:p>
    <w:p>
      <w:pPr>
        <w:pStyle w:val="Normal"/>
        <w:tabs>
          <w:tab w:val="clear" w:pos="720"/>
          <w:tab w:val="left" w:pos="318" w:leader="none"/>
        </w:tabs>
        <w:spacing w:lineRule="auto" w:line="276"/>
        <w:ind w:right="118" w:hanging="0"/>
        <w:rPr>
          <w:b/>
          <w:b/>
          <w:i/>
          <w:i/>
          <w:sz w:val="24"/>
        </w:rPr>
      </w:pPr>
      <w:r>
        <w:rPr>
          <w:bCs/>
          <w:color w:val="000000"/>
          <w:sz w:val="20"/>
          <w:szCs w:val="20"/>
          <w:vertAlign w:val="superscript"/>
          <w:lang w:eastAsia="pt-BR"/>
        </w:rPr>
        <w:t>2</w:t>
      </w:r>
      <w:r>
        <w:rPr>
          <w:sz w:val="20"/>
          <w:szCs w:val="20"/>
        </w:rPr>
        <w:t xml:space="preserve"> Docente do curso de ciências biológicas UEMS-Dourados.</w:t>
      </w:r>
    </w:p>
    <w:p>
      <w:pPr>
        <w:pStyle w:val="Normal"/>
        <w:tabs>
          <w:tab w:val="clear" w:pos="720"/>
          <w:tab w:val="left" w:pos="318" w:leader="none"/>
        </w:tabs>
        <w:spacing w:lineRule="auto" w:line="276"/>
        <w:ind w:right="118" w:hanging="0"/>
        <w:rPr>
          <w:bCs/>
          <w:color w:val="000000"/>
          <w:sz w:val="20"/>
          <w:szCs w:val="20"/>
          <w:lang w:eastAsia="pt-BR"/>
        </w:rPr>
      </w:pPr>
      <w:r>
        <w:rPr>
          <w:sz w:val="24"/>
          <w:vertAlign w:val="superscript"/>
        </w:rPr>
        <w:t xml:space="preserve">3 </w:t>
      </w:r>
      <w:bookmarkStart w:id="0" w:name="_Hlk173763122"/>
      <w:r>
        <w:rPr>
          <w:bCs/>
          <w:color w:val="000000"/>
          <w:sz w:val="20"/>
          <w:szCs w:val="20"/>
          <w:lang w:eastAsia="pt-BR"/>
        </w:rPr>
        <w:t>Docente do curso de Química Industrial e Química Licenciatura UEMS-Dourados.</w:t>
      </w:r>
      <w:bookmarkEnd w:id="0"/>
    </w:p>
    <w:p>
      <w:pPr>
        <w:pStyle w:val="Normal"/>
        <w:tabs>
          <w:tab w:val="clear" w:pos="720"/>
          <w:tab w:val="left" w:pos="318" w:leader="none"/>
        </w:tabs>
        <w:spacing w:lineRule="auto" w:line="276"/>
        <w:ind w:right="118" w:hanging="0"/>
        <w:rPr>
          <w:bCs/>
          <w:color w:val="000000"/>
          <w:sz w:val="20"/>
          <w:szCs w:val="20"/>
          <w:lang w:eastAsia="pt-BR"/>
        </w:rPr>
      </w:pPr>
      <w:r>
        <w:rPr>
          <w:bCs/>
          <w:color w:val="000000"/>
          <w:sz w:val="20"/>
          <w:szCs w:val="20"/>
          <w:vertAlign w:val="superscript"/>
          <w:lang w:eastAsia="pt-BR"/>
        </w:rPr>
        <w:t>4</w:t>
      </w:r>
      <w:r>
        <w:rPr>
          <w:bCs/>
          <w:color w:val="000000"/>
          <w:sz w:val="20"/>
          <w:szCs w:val="20"/>
          <w:lang w:eastAsia="pt-BR"/>
        </w:rPr>
        <w:t xml:space="preserve"> programa de pós-graduação em recursos naturais</w:t>
      </w:r>
    </w:p>
    <w:p>
      <w:pPr>
        <w:pStyle w:val="Normal"/>
        <w:tabs>
          <w:tab w:val="clear" w:pos="720"/>
          <w:tab w:val="left" w:pos="318" w:leader="none"/>
        </w:tabs>
        <w:spacing w:lineRule="auto" w:line="276"/>
        <w:ind w:right="118" w:hanging="0"/>
        <w:rPr>
          <w:b/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ListParagraph"/>
        <w:tabs>
          <w:tab w:val="clear" w:pos="720"/>
          <w:tab w:val="left" w:pos="318" w:leader="none"/>
        </w:tabs>
        <w:spacing w:lineRule="auto" w:line="276"/>
        <w:ind w:left="116" w:right="117" w:hanging="0"/>
        <w:rPr>
          <w:sz w:val="20"/>
          <w:szCs w:val="20"/>
        </w:rPr>
      </w:pPr>
      <w:r>
        <w:rPr>
          <w:sz w:val="20"/>
          <w:szCs w:val="20"/>
        </w:rPr>
        <w:t>O crescimento da nanotecnologia impacta diversas áreas como medicina, cosméticos, setor têxtil e agricultura. Na agricultura, nanopartículas (NPs) podem aumentar a produção e atender à demanda por sustentabilidade. Essas nanopartículas, naturais ou sintetizadas, têm efeitos biológicos que variam conforme o tamanho, composição química, forma e estrutura. Para o experimento primeiramente foi realizado o tratamento prévio nas sementes para obter a dose-resposta (concentração e germinação) para – extratos de Jenipapo,  (</w:t>
      </w:r>
      <w:r>
        <w:rPr>
          <w:i/>
          <w:iCs/>
          <w:sz w:val="20"/>
          <w:szCs w:val="20"/>
        </w:rPr>
        <w:t xml:space="preserve">Genipa americana) </w:t>
      </w:r>
      <w:r>
        <w:rPr>
          <w:sz w:val="20"/>
          <w:szCs w:val="20"/>
        </w:rPr>
        <w:t>(AGJ</w:t>
      </w:r>
      <w:r>
        <w:rPr>
          <w:i/>
          <w:iCs/>
          <w:sz w:val="20"/>
          <w:szCs w:val="20"/>
        </w:rPr>
        <w:t>),</w:t>
      </w:r>
      <w:r>
        <w:rPr>
          <w:sz w:val="20"/>
          <w:szCs w:val="20"/>
        </w:rPr>
        <w:t xml:space="preserve"> Guavira, (</w:t>
      </w:r>
      <w:r>
        <w:rPr>
          <w:i/>
          <w:iCs/>
          <w:sz w:val="20"/>
          <w:szCs w:val="20"/>
        </w:rPr>
        <w:t>Campomanesia adamantium</w:t>
      </w:r>
      <w:r>
        <w:rPr>
          <w:sz w:val="20"/>
          <w:szCs w:val="20"/>
        </w:rPr>
        <w:t>) e saboneteira (</w:t>
      </w:r>
      <w:r>
        <w:rPr>
          <w:i/>
          <w:iCs/>
          <w:sz w:val="20"/>
          <w:szCs w:val="20"/>
        </w:rPr>
        <w:t>Sapindus saponaria L.).</w:t>
      </w:r>
      <w:r>
        <w:rPr>
          <w:sz w:val="20"/>
          <w:szCs w:val="20"/>
        </w:rPr>
        <w:t xml:space="preserve"> Uma a concentração fixa de 10 </w:t>
      </w:r>
      <w:r>
        <w:rPr>
          <w:rFonts w:ascii="Symbol" w:hAnsi="Symbol"/>
          <w:sz w:val="20"/>
          <w:szCs w:val="20"/>
        </w:rPr>
        <w:t>m</w:t>
      </w:r>
      <w:r>
        <w:rPr>
          <w:sz w:val="20"/>
          <w:szCs w:val="20"/>
        </w:rPr>
        <w:t>g/g de íons de prata e, para isto um arranjo de 25 sementes dispostas em 5 réplicas para cada tratamento as sementes foram tratadas por imersão  em soluções. O bioensaio de germinação foi conduzido a condição de BOD (</w:t>
      </w:r>
      <w:r>
        <w:rPr>
          <w:i/>
          <w:iCs/>
          <w:color w:val="222222"/>
          <w:sz w:val="20"/>
          <w:szCs w:val="20"/>
        </w:rPr>
        <w:t>Biochemical oxygen demand</w:t>
      </w:r>
      <w:r>
        <w:rPr>
          <w:color w:val="222222"/>
          <w:sz w:val="20"/>
          <w:szCs w:val="20"/>
        </w:rPr>
        <w:t>)</w:t>
      </w:r>
      <w:r>
        <w:rPr>
          <w:sz w:val="20"/>
          <w:szCs w:val="20"/>
        </w:rPr>
        <w:t xml:space="preserve"> em arranjo de delineamento casualizado, fotoperíodo 16/8 (claro/escuro) a 25°C. A contagem de sementes germinadas será realizada diariamente durante sete dias, foi  considerado a semente germinada com a emissão da raiz primária com tamanho igual ou maior que 2 mm. Ao final do ensaio germinativo foram interpretados os parâmetros de germinação (%G, TM, VM, FR).</w:t>
      </w:r>
      <w:r>
        <w:rPr/>
        <w:t xml:space="preserve"> </w:t>
      </w:r>
      <w:r>
        <w:rPr>
          <w:sz w:val="20"/>
          <w:szCs w:val="20"/>
        </w:rPr>
        <w:t>Resultou-se, da seguinte maneira, as concentrações de nano partícula de prata a partir do jenipapo (AGJ) demonstram uma redução em porcentagem de germinação (54%) comparadas com o controle (75%), as com melhores concentrações foram aquelas que continham concentrações de nanopartícula de prata com extrato de guavira (GAD) (79%) As amostras com GAD tiveram maior velocidade média e maior índice de sincronicidade. Conclui-se, com a pesquisa, que o extrato GAD, juntamente com nanopartícula de prata pode ser um ótimo precursor e ser utilizado no tratamento pré emergente das sementes de</w:t>
      </w:r>
      <w:r>
        <w:rPr/>
        <w:t xml:space="preserve"> </w:t>
      </w:r>
      <w:r>
        <w:rPr>
          <w:i/>
          <w:iCs/>
          <w:sz w:val="20"/>
          <w:szCs w:val="20"/>
        </w:rPr>
        <w:t>Gossypium sp L Malvaceae</w:t>
      </w:r>
      <w:r>
        <w:rPr>
          <w:sz w:val="20"/>
          <w:szCs w:val="20"/>
        </w:rPr>
        <w:t>, pois faz com que as sementes germinem de forma veloz e sincronizadas.</w:t>
      </w:r>
    </w:p>
    <w:p>
      <w:pPr>
        <w:pStyle w:val="ListParagraph"/>
        <w:tabs>
          <w:tab w:val="clear" w:pos="720"/>
          <w:tab w:val="left" w:pos="294" w:leader="none"/>
        </w:tabs>
        <w:spacing w:lineRule="auto" w:line="276" w:before="40" w:after="0"/>
        <w:ind w:left="115" w:right="123" w:hanging="0"/>
        <w:rPr>
          <w:b/>
          <w:b/>
          <w:i/>
          <w:i/>
          <w:sz w:val="24"/>
        </w:rPr>
      </w:pPr>
      <w:r>
        <w:rPr/>
      </w:r>
    </w:p>
    <w:p>
      <w:pPr>
        <w:pStyle w:val="ListParagraph"/>
        <w:tabs>
          <w:tab w:val="clear" w:pos="720"/>
          <w:tab w:val="left" w:pos="294" w:leader="none"/>
        </w:tabs>
        <w:spacing w:lineRule="auto" w:line="276" w:before="40" w:after="0"/>
        <w:ind w:left="115" w:right="123" w:hanging="0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Palavras-chave: </w:t>
      </w:r>
      <w:r>
        <w:rPr>
          <w:sz w:val="20"/>
          <w:szCs w:val="20"/>
        </w:rPr>
        <w:t>Nanoformulação</w:t>
      </w:r>
      <w:r>
        <w:rPr>
          <w:bCs/>
          <w:sz w:val="20"/>
          <w:szCs w:val="20"/>
          <w:lang w:val="pt-BR"/>
        </w:rPr>
        <w:t xml:space="preserve"> e Bioensaio</w:t>
      </w:r>
    </w:p>
    <w:p>
      <w:pPr>
        <w:pStyle w:val="ListParagraph"/>
        <w:tabs>
          <w:tab w:val="clear" w:pos="720"/>
          <w:tab w:val="left" w:pos="252" w:leader="none"/>
        </w:tabs>
        <w:spacing w:lineRule="auto" w:line="276"/>
        <w:ind w:left="115" w:right="122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tabs>
          <w:tab w:val="clear" w:pos="720"/>
          <w:tab w:val="left" w:pos="252" w:leader="none"/>
        </w:tabs>
        <w:spacing w:lineRule="auto" w:line="276"/>
        <w:ind w:left="115" w:right="122" w:hanging="0"/>
        <w:rPr>
          <w:sz w:val="20"/>
          <w:szCs w:val="20"/>
        </w:rPr>
      </w:pPr>
      <w:r>
        <w:rPr>
          <w:b/>
          <w:i/>
          <w:sz w:val="20"/>
          <w:szCs w:val="20"/>
        </w:rPr>
        <w:t>Agradecimentos:</w:t>
      </w:r>
      <w:r>
        <w:rPr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 FUNDECT, CNPq</w:t>
      </w:r>
      <w:r>
        <w:rPr>
          <w:sz w:val="20"/>
          <w:szCs w:val="20"/>
        </w:rPr>
        <w:t xml:space="preserve"> pela concessão de bolsa de iniciação científica.</w:t>
      </w:r>
    </w:p>
    <w:p>
      <w:pPr>
        <w:pStyle w:val="Normal"/>
        <w:tabs>
          <w:tab w:val="clear" w:pos="720"/>
          <w:tab w:val="left" w:pos="246" w:leader="none"/>
        </w:tabs>
        <w:spacing w:before="144" w:after="0"/>
        <w:ind w:right="460" w:hanging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tabs>
          <w:tab w:val="clear" w:pos="720"/>
          <w:tab w:val="left" w:pos="246" w:leader="none"/>
        </w:tabs>
        <w:spacing w:before="144" w:after="0"/>
        <w:ind w:right="460" w:hanging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tabs>
          <w:tab w:val="clear" w:pos="720"/>
          <w:tab w:val="left" w:pos="246" w:leader="none"/>
        </w:tabs>
        <w:spacing w:before="144" w:after="0"/>
        <w:ind w:right="460" w:hanging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tabs>
          <w:tab w:val="clear" w:pos="720"/>
          <w:tab w:val="left" w:pos="246" w:leader="none"/>
        </w:tabs>
        <w:spacing w:before="144" w:after="0"/>
        <w:ind w:right="460" w:hanging="0"/>
        <w:rPr>
          <w:b/>
          <w:b/>
          <w:i/>
          <w:i/>
          <w:sz w:val="20"/>
        </w:rPr>
      </w:pPr>
      <w:r>
        <w:rPr/>
      </w:r>
    </w:p>
    <w:p>
      <w:pPr>
        <w:pStyle w:val="Normal"/>
        <w:tabs>
          <w:tab w:val="clear" w:pos="720"/>
          <w:tab w:val="left" w:pos="246" w:leader="none"/>
        </w:tabs>
        <w:spacing w:before="144" w:after="0"/>
        <w:ind w:right="460" w:hanging="0"/>
        <w:rPr>
          <w:b/>
          <w:b/>
          <w:i/>
          <w:i/>
          <w:sz w:val="20"/>
        </w:rPr>
      </w:pPr>
      <w:r>
        <w:rPr/>
      </w:r>
    </w:p>
    <w:p>
      <w:pPr>
        <w:pStyle w:val="Normal"/>
        <w:tabs>
          <w:tab w:val="clear" w:pos="720"/>
          <w:tab w:val="left" w:pos="246" w:leader="none"/>
        </w:tabs>
        <w:spacing w:before="144" w:after="0"/>
        <w:ind w:right="460" w:hanging="0"/>
        <w:rPr>
          <w:b/>
          <w:b/>
          <w:i/>
          <w:i/>
          <w:sz w:val="20"/>
        </w:rPr>
      </w:pPr>
      <w:r>
        <w:rPr/>
      </w:r>
    </w:p>
    <w:p>
      <w:pPr>
        <w:pStyle w:val="Normal"/>
        <w:tabs>
          <w:tab w:val="clear" w:pos="720"/>
          <w:tab w:val="left" w:pos="246" w:leader="none"/>
        </w:tabs>
        <w:spacing w:before="144" w:after="0"/>
        <w:ind w:right="460" w:hanging="0"/>
        <w:rPr>
          <w:b/>
          <w:b/>
          <w:i/>
          <w:i/>
          <w:sz w:val="20"/>
        </w:rPr>
      </w:pPr>
      <w:r>
        <w:rPr/>
      </w:r>
    </w:p>
    <w:p>
      <w:pPr>
        <w:pStyle w:val="Normal"/>
        <w:tabs>
          <w:tab w:val="clear" w:pos="720"/>
          <w:tab w:val="left" w:pos="246" w:leader="none"/>
        </w:tabs>
        <w:spacing w:before="144" w:after="0"/>
        <w:ind w:right="460" w:hanging="0"/>
        <w:rPr>
          <w:b/>
          <w:b/>
          <w:i/>
          <w:i/>
          <w:sz w:val="20"/>
        </w:rPr>
      </w:pPr>
      <w:r>
        <w:rPr/>
      </w:r>
    </w:p>
    <w:p>
      <w:pPr>
        <w:pStyle w:val="Normal"/>
        <w:tabs>
          <w:tab w:val="clear" w:pos="720"/>
          <w:tab w:val="left" w:pos="246" w:leader="none"/>
        </w:tabs>
        <w:spacing w:before="144" w:after="0"/>
        <w:ind w:right="460" w:hanging="0"/>
        <w:rPr>
          <w:b/>
          <w:b/>
          <w:i/>
          <w:i/>
          <w:sz w:val="20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721360</wp:posOffset>
            </wp:positionH>
            <wp:positionV relativeFrom="paragraph">
              <wp:posOffset>252730</wp:posOffset>
            </wp:positionV>
            <wp:extent cx="1594485" cy="442595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3441700</wp:posOffset>
            </wp:positionH>
            <wp:positionV relativeFrom="paragraph">
              <wp:posOffset>257810</wp:posOffset>
            </wp:positionV>
            <wp:extent cx="1181100" cy="457200"/>
            <wp:effectExtent l="0" t="0" r="0" b="0"/>
            <wp:wrapTopAndBottom/>
            <wp:docPr id="3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5859145</wp:posOffset>
            </wp:positionH>
            <wp:positionV relativeFrom="paragraph">
              <wp:posOffset>267970</wp:posOffset>
            </wp:positionV>
            <wp:extent cx="952500" cy="463550"/>
            <wp:effectExtent l="0" t="0" r="0" b="0"/>
            <wp:wrapTopAndBottom/>
            <wp:docPr id="4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unhideWhenUsed/>
    <w:rsid w:val="00d965c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12933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0"/>
    <w:qFormat/>
    <w:pPr>
      <w:ind w:left="3" w:hanging="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5" w:right="121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arruda@uems.br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0BB8-EAC2-4F6C-A72C-7DEC6BE5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LibreOffice/7.3.5.2$Windows_X86_64 LibreOffice_project/184fe81b8c8c30d8b5082578aee2fed2ea847c01</Application>
  <AppVersion>15.0000</AppVersion>
  <Pages>1</Pages>
  <Words>374</Words>
  <Characters>2291</Characters>
  <CharactersWithSpaces>2664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2024-08-09T21:57:00Z</dcterms:created>
  <dc:creator>Usuário do Windows</dc:creator>
  <dc:description/>
  <dc:language>pt-BR</dc:language>
  <cp:lastModifiedBy/>
  <dcterms:modified xsi:type="dcterms:W3CDTF">2024-08-16T11:47:56Z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Writer</vt:lpwstr>
  </property>
  <property fmtid="{D5CDD505-2E9C-101B-9397-08002B2CF9AE}" pid="4" name="LastSaved">
    <vt:filetime>2024-07-09T00:00:00Z</vt:filetime>
  </property>
  <property fmtid="{D5CDD505-2E9C-101B-9397-08002B2CF9AE}" pid="5" name="Producer">
    <vt:lpwstr>LibreOffice 7.3</vt:lpwstr>
  </property>
</Properties>
</file>