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"/>
      </w:pPr>
      <w:r>
        <w:rPr/>
        <w:drawing>
          <wp:inline distT="0" distB="0" distL="0" distR="0">
            <wp:extent cx="7160457" cy="8926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457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1"/>
        <w:ind w:left="4483" w:right="931"/>
      </w:pPr>
      <w:r>
        <w:rPr/>
        <w:t>TÍTULO:</w:t>
      </w:r>
      <w:r>
        <w:rPr>
          <w:spacing w:val="-9"/>
        </w:rPr>
        <w:t> </w:t>
      </w:r>
      <w:r>
        <w:rPr/>
        <w:t>ANÁLISE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DIMENSÃO</w:t>
      </w:r>
      <w:r>
        <w:rPr>
          <w:spacing w:val="-8"/>
        </w:rPr>
        <w:t> </w:t>
      </w:r>
      <w:r>
        <w:rPr/>
        <w:t>EDUCACIONAL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CONTEXTO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>
          <w:i/>
        </w:rPr>
        <w:t>SMART</w:t>
      </w:r>
      <w:r>
        <w:rPr>
          <w:i/>
          <w:spacing w:val="-8"/>
        </w:rPr>
        <w:t> </w:t>
      </w:r>
      <w:r>
        <w:rPr>
          <w:i/>
        </w:rPr>
        <w:t>CITIES</w:t>
      </w:r>
      <w:r>
        <w:rPr>
          <w:i/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MATO</w:t>
      </w:r>
      <w:r>
        <w:rPr>
          <w:spacing w:val="-1"/>
        </w:rPr>
        <w:t> </w:t>
      </w:r>
      <w:r>
        <w:rPr/>
        <w:t>GROSSO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5"/>
        </w:rPr>
      </w:pPr>
    </w:p>
    <w:p>
      <w:pPr>
        <w:spacing w:before="1"/>
        <w:ind w:left="972" w:right="0" w:firstLine="0"/>
        <w:jc w:val="left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-7"/>
          <w:sz w:val="20"/>
        </w:rPr>
        <w:t> </w:t>
      </w:r>
      <w:r>
        <w:rPr>
          <w:sz w:val="20"/>
        </w:rPr>
        <w:t>Universidade</w:t>
      </w:r>
      <w:r>
        <w:rPr>
          <w:spacing w:val="-7"/>
          <w:sz w:val="20"/>
        </w:rPr>
        <w:t> </w:t>
      </w:r>
      <w:r>
        <w:rPr>
          <w:sz w:val="20"/>
        </w:rPr>
        <w:t>Estadual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Mato</w:t>
      </w:r>
      <w:r>
        <w:rPr>
          <w:spacing w:val="-6"/>
          <w:sz w:val="20"/>
        </w:rPr>
        <w:t> </w:t>
      </w:r>
      <w:r>
        <w:rPr>
          <w:sz w:val="20"/>
        </w:rPr>
        <w:t>Grosso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Sul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ind w:firstLine="0"/>
      </w:pPr>
      <w:r>
        <w:rPr/>
        <w:t>Área</w:t>
      </w:r>
      <w:r>
        <w:rPr>
          <w:spacing w:val="-9"/>
        </w:rPr>
        <w:t> </w:t>
      </w:r>
      <w:r>
        <w:rPr/>
        <w:t>temática:</w:t>
      </w:r>
      <w:r>
        <w:rPr>
          <w:spacing w:val="-8"/>
        </w:rPr>
        <w:t> </w:t>
      </w:r>
      <w:r>
        <w:rPr/>
        <w:t>Ciências</w:t>
      </w:r>
      <w:r>
        <w:rPr>
          <w:spacing w:val="-8"/>
        </w:rPr>
        <w:t> </w:t>
      </w:r>
      <w:r>
        <w:rPr/>
        <w:t>Humanas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ind w:left="972"/>
      </w:pPr>
      <w:r>
        <w:rPr>
          <w:b/>
          <w:spacing w:val="-1"/>
        </w:rPr>
        <w:t>SANTOS,</w:t>
      </w:r>
      <w:r>
        <w:rPr>
          <w:b/>
          <w:spacing w:val="-11"/>
        </w:rPr>
        <w:t> </w:t>
      </w:r>
      <w:r>
        <w:rPr>
          <w:spacing w:val="-1"/>
        </w:rPr>
        <w:t>Bruna</w:t>
      </w:r>
      <w:r>
        <w:rPr>
          <w:spacing w:val="-11"/>
        </w:rPr>
        <w:t> </w:t>
      </w:r>
      <w:r>
        <w:rPr>
          <w:spacing w:val="-1"/>
        </w:rPr>
        <w:t>Arantes</w:t>
      </w:r>
      <w:r>
        <w:rPr>
          <w:spacing w:val="-1"/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(</w:t>
      </w:r>
      <w:hyperlink r:id="rId6">
        <w:r>
          <w:rPr>
            <w:color w:val="1154CC"/>
            <w:spacing w:val="-1"/>
            <w:u w:val="single" w:color="1154CC"/>
            <w:vertAlign w:val="baseline"/>
          </w:rPr>
          <w:t>42966223820@academicos.uems.br</w:t>
        </w:r>
      </w:hyperlink>
      <w:r>
        <w:rPr>
          <w:spacing w:val="-1"/>
          <w:vertAlign w:val="baseline"/>
        </w:rPr>
        <w:t>);</w:t>
      </w:r>
      <w:r>
        <w:rPr>
          <w:spacing w:val="-11"/>
          <w:vertAlign w:val="baseline"/>
        </w:rPr>
        <w:t> </w:t>
      </w:r>
      <w:r>
        <w:rPr>
          <w:b/>
          <w:spacing w:val="-1"/>
          <w:vertAlign w:val="baseline"/>
        </w:rPr>
        <w:t>SILVA</w:t>
      </w:r>
      <w:r>
        <w:rPr>
          <w:spacing w:val="-1"/>
          <w:vertAlign w:val="baseline"/>
        </w:rPr>
        <w:t>,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Luciana</w:t>
      </w:r>
      <w:r>
        <w:rPr>
          <w:spacing w:val="-11"/>
          <w:vertAlign w:val="baseline"/>
        </w:rPr>
        <w:t> </w:t>
      </w:r>
      <w:r>
        <w:rPr>
          <w:vertAlign w:val="baseline"/>
        </w:rPr>
        <w:t>Henrique</w:t>
      </w:r>
      <w:r>
        <w:rPr>
          <w:spacing w:val="-11"/>
          <w:vertAlign w:val="baseline"/>
        </w:rPr>
        <w:t> </w:t>
      </w:r>
      <w:r>
        <w:rPr>
          <w:vertAlign w:val="baseline"/>
        </w:rPr>
        <w:t>da</w:t>
      </w:r>
      <w:r>
        <w:rPr>
          <w:vertAlign w:val="superscript"/>
        </w:rPr>
        <w:t>2</w:t>
      </w:r>
      <w:r>
        <w:rPr>
          <w:spacing w:val="-11"/>
          <w:vertAlign w:val="baseline"/>
        </w:rPr>
        <w:t> </w:t>
      </w:r>
      <w:r>
        <w:rPr>
          <w:vertAlign w:val="baseline"/>
        </w:rPr>
        <w:t>(lucianahs@uems.br).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exact"/>
        <w:ind w:left="972"/>
      </w:pPr>
      <w:r>
        <w:rPr>
          <w:vertAlign w:val="superscript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-6"/>
          <w:vertAlign w:val="baseline"/>
        </w:rPr>
        <w:t> </w:t>
      </w:r>
      <w:r>
        <w:rPr>
          <w:vertAlign w:val="baseline"/>
        </w:rPr>
        <w:t>curso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Ciências</w:t>
      </w:r>
      <w:r>
        <w:rPr>
          <w:spacing w:val="-6"/>
          <w:vertAlign w:val="baseline"/>
        </w:rPr>
        <w:t> </w:t>
      </w:r>
      <w:r>
        <w:rPr>
          <w:vertAlign w:val="baseline"/>
        </w:rPr>
        <w:t>Sociais</w:t>
      </w:r>
      <w:r>
        <w:rPr>
          <w:spacing w:val="-7"/>
          <w:vertAlign w:val="baseline"/>
        </w:rPr>
        <w:t> </w:t>
      </w:r>
      <w:r>
        <w:rPr>
          <w:vertAlign w:val="baseline"/>
        </w:rPr>
        <w:t>-</w:t>
      </w:r>
      <w:r>
        <w:rPr>
          <w:spacing w:val="-6"/>
          <w:vertAlign w:val="baseline"/>
        </w:rPr>
        <w:t> </w:t>
      </w:r>
      <w:r>
        <w:rPr>
          <w:vertAlign w:val="baseline"/>
        </w:rPr>
        <w:t>Licenciatura</w:t>
      </w:r>
      <w:r>
        <w:rPr>
          <w:spacing w:val="-6"/>
          <w:vertAlign w:val="baseline"/>
        </w:rPr>
        <w:t> </w:t>
      </w:r>
      <w:r>
        <w:rPr>
          <w:vertAlign w:val="baseline"/>
        </w:rPr>
        <w:t>na</w:t>
      </w:r>
      <w:r>
        <w:rPr>
          <w:spacing w:val="-7"/>
          <w:vertAlign w:val="baseline"/>
        </w:rPr>
        <w:t> </w:t>
      </w:r>
      <w:r>
        <w:rPr>
          <w:vertAlign w:val="baseline"/>
        </w:rPr>
        <w:t>unidade</w:t>
      </w:r>
      <w:r>
        <w:rPr>
          <w:spacing w:val="-6"/>
          <w:vertAlign w:val="baseline"/>
        </w:rPr>
        <w:t> </w:t>
      </w:r>
      <w:r>
        <w:rPr>
          <w:vertAlign w:val="baseline"/>
        </w:rPr>
        <w:t>universitária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Paranaíba;</w:t>
      </w:r>
    </w:p>
    <w:p>
      <w:pPr>
        <w:pStyle w:val="BodyText"/>
        <w:ind w:left="972" w:right="931"/>
      </w:pPr>
      <w:r>
        <w:rPr/>
        <w:t>² – Docente do curso de Ciências Sociais e Coordenadora da Pós-graduação Lato Sensu em Políticas Públicas, Cultura e</w:t>
      </w:r>
      <w:r>
        <w:rPr>
          <w:spacing w:val="-47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</w:t>
      </w:r>
      <w:r>
        <w:rPr>
          <w:spacing w:val="-1"/>
        </w:rPr>
        <w:t> </w:t>
      </w:r>
      <w:r>
        <w:rPr/>
        <w:t>Grosso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72" w:right="924" w:firstLine="718"/>
        <w:jc w:val="both"/>
      </w:pPr>
      <w:r>
        <w:rPr/>
        <w:t>A tecnologia permeia o cotidiano de grande parte da sociedade, apesar das desigualdades que limitam o acesso</w:t>
      </w:r>
      <w:r>
        <w:rPr>
          <w:spacing w:val="-47"/>
        </w:rPr>
        <w:t> </w:t>
      </w:r>
      <w:r>
        <w:rPr/>
        <w:t>a serviços, dispositivos e internet de qualidade. A sociedade contemporânea é movida por avanços tecnológicos. A</w:t>
      </w:r>
      <w:r>
        <w:rPr>
          <w:spacing w:val="1"/>
        </w:rPr>
        <w:t> </w:t>
      </w:r>
      <w:r>
        <w:rPr/>
        <w:t>economia, mais do que nunca, exerce um forte impacto na sociedade e no inconsciente individual, onde valores sociais</w:t>
      </w:r>
      <w:r>
        <w:rPr>
          <w:spacing w:val="1"/>
        </w:rPr>
        <w:t> </w:t>
      </w:r>
      <w:r>
        <w:rPr/>
        <w:t>são cada vez mais vinculados à eficiência produtiva, mobilidade e sucesso pessoal. Isso resulta em um esvaziamento do</w:t>
      </w:r>
      <w:r>
        <w:rPr>
          <w:spacing w:val="1"/>
        </w:rPr>
        <w:t> </w:t>
      </w:r>
      <w:r>
        <w:rPr/>
        <w:t>valor simbólico do conhecimento, cuja validade se torna cada vez mais curta nas dinâmicas econômicas. Além disso,</w:t>
      </w:r>
      <w:r>
        <w:rPr>
          <w:spacing w:val="1"/>
        </w:rPr>
        <w:t> </w:t>
      </w:r>
      <w:r>
        <w:rPr/>
        <w:t>altos investimentos em TICs frequentemente favorecem o enriquecimento de empresas, em vez de realmente melhorar a</w:t>
      </w:r>
      <w:r>
        <w:rPr>
          <w:spacing w:val="-47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>
          <w:i/>
        </w:rPr>
        <w:t>"smart</w:t>
      </w:r>
      <w:r>
        <w:rPr>
          <w:i/>
          <w:spacing w:val="1"/>
        </w:rPr>
        <w:t> </w:t>
      </w:r>
      <w:r>
        <w:rPr>
          <w:i/>
        </w:rPr>
        <w:t>cities"</w:t>
      </w:r>
      <w:r>
        <w:rPr>
          <w:i/>
          <w:spacing w:val="1"/>
        </w:rPr>
        <w:t> </w:t>
      </w:r>
      <w:r>
        <w:rPr/>
        <w:t>refere-se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tendência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Tecnologias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Comunicação (TICs) na gestão de áreas diversas da administração pública, como saúde, segurança, mobilidade urbana,</w:t>
      </w:r>
      <w:r>
        <w:rPr>
          <w:spacing w:val="1"/>
        </w:rPr>
        <w:t> </w:t>
      </w:r>
      <w:r>
        <w:rPr/>
        <w:t>desenvolvimento sustentável e educação. No campo educacional, essas iniciativas </w:t>
      </w:r>
      <w:r>
        <w:rPr>
          <w:i/>
        </w:rPr>
        <w:t>"smart" </w:t>
      </w:r>
      <w:r>
        <w:rPr/>
        <w:t>parecem estar alinhadas à</w:t>
      </w:r>
      <w:r>
        <w:rPr>
          <w:spacing w:val="1"/>
        </w:rPr>
        <w:t> </w:t>
      </w:r>
      <w:r>
        <w:rPr/>
        <w:t>lógica neoliberal, resultando em um ambiente escolar cada vez mais competitivo, desigual e hierarquizado. Embora São</w:t>
      </w:r>
      <w:r>
        <w:rPr>
          <w:spacing w:val="-47"/>
        </w:rPr>
        <w:t> </w:t>
      </w:r>
      <w:r>
        <w:rPr/>
        <w:t>Caetano do Sul (SP), Dourados e Paranaíba (MS) apresentem variações em seus índices educacionais no Ranking</w:t>
      </w:r>
      <w:r>
        <w:rPr>
          <w:spacing w:val="1"/>
        </w:rPr>
        <w:t> </w:t>
      </w:r>
      <w:r>
        <w:rPr/>
        <w:t>Connected Smart Cities, as diferenças no desempenho dos alunos não são tão acentuadas quanto se poderia supor.</w:t>
      </w:r>
      <w:r>
        <w:rPr>
          <w:spacing w:val="1"/>
        </w:rPr>
        <w:t> </w:t>
      </w:r>
      <w:r>
        <w:rPr/>
        <w:t>Analisando os dados dos anos de 2021 e 2022, observa-se que, apesar de São Caetano do Sul ter uma nota mais alta no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</w:t>
      </w:r>
      <w:r>
        <w:rPr>
          <w:spacing w:val="50"/>
        </w:rPr>
        <w:t> </w:t>
      </w:r>
      <w:r>
        <w:rPr/>
        <w:t>Básica (IDEB), a diferença em relação às cidades de Dourados e Paranaíba</w:t>
      </w:r>
      <w:r>
        <w:rPr>
          <w:spacing w:val="1"/>
        </w:rPr>
        <w:t> </w:t>
      </w:r>
      <w:r>
        <w:rPr/>
        <w:t>não é tão significativa, bem como as médias no Exame Nacional do Ensino Médio (ENEM). Notamos o inverso, em</w:t>
      </w:r>
      <w:r>
        <w:rPr>
          <w:spacing w:val="1"/>
        </w:rPr>
        <w:t> </w:t>
      </w:r>
      <w:r>
        <w:rPr/>
        <w:t>relação ao número de docentes com ensino superior no ensino médio é mais expressivo em Dourados e Paranaíba. Os</w:t>
      </w:r>
      <w:r>
        <w:rPr>
          <w:spacing w:val="1"/>
        </w:rPr>
        <w:t> </w:t>
      </w:r>
      <w:r>
        <w:rPr/>
        <w:t>municípios analisados enfrentam desafios semelhantes em termos de infraestrutura e cobertura educacional, indicando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investimento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tecnologia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únicos</w:t>
      </w:r>
      <w:r>
        <w:rPr>
          <w:spacing w:val="1"/>
        </w:rPr>
        <w:t> </w:t>
      </w:r>
      <w:r>
        <w:rPr/>
        <w:t>determinantes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educacional.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disparidades nos resultados sugerem que, além da integração tecnológica, são necessárias abordagens mais abrangentes</w:t>
      </w:r>
      <w:r>
        <w:rPr>
          <w:spacing w:val="1"/>
        </w:rPr>
        <w:t> </w:t>
      </w:r>
      <w:r>
        <w:rPr/>
        <w:t>e políticas educacionais específicas para melhorar o desempenho dos alunos de maneira equitativa, tendo em vista</w:t>
      </w:r>
      <w:r>
        <w:rPr>
          <w:spacing w:val="1"/>
        </w:rPr>
        <w:t> </w:t>
      </w:r>
      <w:r>
        <w:rPr/>
        <w:t>também que o estado de Mato Grosso do Sul é o terceiro maior do Brasil em número de populações indígenas, que</w:t>
      </w:r>
      <w:r>
        <w:rPr>
          <w:spacing w:val="1"/>
        </w:rPr>
        <w:t> </w:t>
      </w:r>
      <w:r>
        <w:rPr/>
        <w:t>adotam outras formas de educar que estão além dos limites de avaliações formais. É crucial avaliar não apenas o uso da</w:t>
      </w:r>
      <w:r>
        <w:rPr>
          <w:spacing w:val="1"/>
        </w:rPr>
        <w:t> </w:t>
      </w:r>
      <w:r>
        <w:rPr/>
        <w:t>tecnologia, mas também a finalidade de sua implementação, os conteúdos abordados e o propósito da educação,</w:t>
      </w:r>
      <w:r>
        <w:rPr>
          <w:spacing w:val="1"/>
        </w:rPr>
        <w:t> </w:t>
      </w:r>
      <w:r>
        <w:rPr/>
        <w:t>especialmente diante de um projeto educacional que parece focar exclusivamente na formação dos jovens para o</w:t>
      </w:r>
      <w:r>
        <w:rPr>
          <w:spacing w:val="1"/>
        </w:rPr>
        <w:t> </w:t>
      </w:r>
      <w:r>
        <w:rPr/>
        <w:t>mercado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6"/>
        <w:ind w:left="972" w:right="0" w:firstLine="0"/>
        <w:jc w:val="left"/>
        <w:rPr>
          <w:sz w:val="20"/>
        </w:rPr>
      </w:pPr>
      <w:r>
        <w:rPr>
          <w:b/>
          <w:spacing w:val="-2"/>
          <w:sz w:val="20"/>
        </w:rPr>
        <w:t>PALAVRAS-CHAVE: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Educação,</w:t>
      </w:r>
      <w:r>
        <w:rPr>
          <w:spacing w:val="-9"/>
          <w:sz w:val="20"/>
        </w:rPr>
        <w:t> </w:t>
      </w:r>
      <w:r>
        <w:rPr>
          <w:i/>
          <w:spacing w:val="-1"/>
          <w:sz w:val="20"/>
        </w:rPr>
        <w:t>smart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cities,</w:t>
      </w:r>
      <w:r>
        <w:rPr>
          <w:i/>
          <w:spacing w:val="-9"/>
          <w:sz w:val="20"/>
        </w:rPr>
        <w:t> </w:t>
      </w:r>
      <w:r>
        <w:rPr>
          <w:spacing w:val="-1"/>
          <w:sz w:val="20"/>
        </w:rPr>
        <w:t>neoliberalismo.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972"/>
      </w:pPr>
      <w:r>
        <w:rPr>
          <w:b/>
        </w:rPr>
        <w:t>AGRADECIMENTOS:</w:t>
      </w:r>
      <w:r>
        <w:rPr>
          <w:b/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Universidade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Mato</w:t>
      </w:r>
      <w:r>
        <w:rPr>
          <w:spacing w:val="-7"/>
        </w:rPr>
        <w:t> </w:t>
      </w:r>
      <w:r>
        <w:rPr/>
        <w:t>Grosso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Sul</w:t>
      </w:r>
      <w:r>
        <w:rPr>
          <w:spacing w:val="-6"/>
        </w:rPr>
        <w:t> </w:t>
      </w:r>
      <w:r>
        <w:rPr/>
        <w:t>pelo</w:t>
      </w:r>
      <w:r>
        <w:rPr>
          <w:spacing w:val="-7"/>
        </w:rPr>
        <w:t> </w:t>
      </w:r>
      <w:r>
        <w:rPr/>
        <w:t>apoio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pesquisa.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718881</wp:posOffset>
            </wp:positionH>
            <wp:positionV relativeFrom="paragraph">
              <wp:posOffset>207650</wp:posOffset>
            </wp:positionV>
            <wp:extent cx="1663382" cy="47244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38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3438461</wp:posOffset>
            </wp:positionH>
            <wp:positionV relativeFrom="paragraph">
              <wp:posOffset>217159</wp:posOffset>
            </wp:positionV>
            <wp:extent cx="1200546" cy="46100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46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5844242</wp:posOffset>
            </wp:positionH>
            <wp:positionV relativeFrom="paragraph">
              <wp:posOffset>226668</wp:posOffset>
            </wp:positionV>
            <wp:extent cx="959910" cy="470725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10" cy="47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260" w:bottom="0" w:left="1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72" w:hanging="3425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42966223820@academicos.uems.b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ENEPEX 2024.docx</dc:title>
  <dcterms:created xsi:type="dcterms:W3CDTF">2024-08-14T14:50:51Z</dcterms:created>
  <dcterms:modified xsi:type="dcterms:W3CDTF">2024-08-14T14:50:51Z</dcterms:modified>
</cp:coreProperties>
</file>