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Times New Roman" w:hAnsi="Times New Roman" w:eastAsia="Times New Roman" w:cs="Times New Roman"/>
          <w:b/>
          <w:b/>
          <w:color w:val="000000"/>
          <w:sz w:val="20"/>
          <w:szCs w:val="20"/>
        </w:rPr>
      </w:pPr>
      <w:r>
        <w:rPr/>
        <w:drawing>
          <wp:inline distT="0" distB="0" distL="0" distR="0">
            <wp:extent cx="5724525" cy="71437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5724525" cy="714375"/>
                    </a:xfrm>
                    <a:prstGeom prst="rect">
                      <a:avLst/>
                    </a:prstGeom>
                  </pic:spPr>
                </pic:pic>
              </a:graphicData>
            </a:graphic>
          </wp:inline>
        </w:drawing>
      </w:r>
      <w:r>
        <w:rPr>
          <w:rFonts w:eastAsia="Times New Roman" w:cs="Times New Roman" w:ascii="Times New Roman" w:hAnsi="Times New Roman"/>
          <w:b/>
          <w:color w:val="000000"/>
          <w:sz w:val="20"/>
          <w:szCs w:val="20"/>
        </w:rPr>
        <w:t>ANÁLISE ECONÔMICA E ÍNDICES DE COMPETIÇÃO DO CONSÓRCIO DE RABANETE E RÚCULA</w:t>
      </w:r>
    </w:p>
    <w:p>
      <w:pPr>
        <w:pStyle w:val="Normal1"/>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 xml:space="preserve">Instituição: </w:t>
      </w:r>
      <w:r>
        <w:rPr>
          <w:rFonts w:eastAsia="Times New Roman" w:cs="Times New Roman" w:ascii="Times New Roman" w:hAnsi="Times New Roman"/>
          <w:color w:val="000000"/>
          <w:sz w:val="20"/>
          <w:szCs w:val="20"/>
        </w:rPr>
        <w:t xml:space="preserve">Universidade Estadual de Mato Grosso do Sul </w:t>
      </w:r>
    </w:p>
    <w:p>
      <w:pPr>
        <w:pStyle w:val="Normal1"/>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 xml:space="preserve">Área Temática: </w:t>
      </w:r>
      <w:r>
        <w:rPr>
          <w:rFonts w:eastAsia="Times New Roman" w:cs="Times New Roman" w:ascii="Times New Roman" w:hAnsi="Times New Roman"/>
          <w:color w:val="000000"/>
          <w:sz w:val="20"/>
          <w:szCs w:val="20"/>
        </w:rPr>
        <w:t>Agronomia (Fitotecnia/Olericultura)</w:t>
      </w:r>
    </w:p>
    <w:p>
      <w:pPr>
        <w:pStyle w:val="Normal1"/>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BARROS FILHO, Luís Gustavo Silva</w:t>
      </w:r>
      <w:r>
        <w:rPr>
          <w:rFonts w:eastAsia="Times New Roman" w:cs="Times New Roman" w:ascii="Times New Roman" w:hAnsi="Times New Roman"/>
          <w:color w:val="000000"/>
          <w:sz w:val="20"/>
          <w:szCs w:val="20"/>
          <w:vertAlign w:val="superscript"/>
        </w:rPr>
        <w:t>1</w:t>
      </w:r>
      <w:r>
        <w:rPr>
          <w:rFonts w:eastAsia="Times New Roman" w:cs="Times New Roman" w:ascii="Times New Roman" w:hAnsi="Times New Roman"/>
          <w:color w:val="000000"/>
          <w:sz w:val="20"/>
          <w:szCs w:val="20"/>
        </w:rPr>
        <w:t xml:space="preserve"> (</w:t>
      </w:r>
      <w:hyperlink r:id="rId3">
        <w:r>
          <w:rPr>
            <w:rFonts w:eastAsia="Times New Roman" w:cs="Times New Roman" w:ascii="Times New Roman" w:hAnsi="Times New Roman"/>
            <w:color w:val="467886"/>
            <w:sz w:val="20"/>
            <w:szCs w:val="20"/>
            <w:u w:val="single"/>
          </w:rPr>
          <w:t>luisgustavosbfilho@gmail.com</w:t>
        </w:r>
      </w:hyperlink>
      <w:r>
        <w:rPr>
          <w:rFonts w:eastAsia="Times New Roman" w:cs="Times New Roman" w:ascii="Times New Roman" w:hAnsi="Times New Roman"/>
          <w:color w:val="000000"/>
          <w:sz w:val="20"/>
          <w:szCs w:val="20"/>
        </w:rPr>
        <w:t>); GOMEZ, Aurélio Luís Carpinedo</w:t>
      </w:r>
      <w:r>
        <w:rPr>
          <w:rFonts w:eastAsia="Times New Roman" w:cs="Times New Roman" w:ascii="Times New Roman" w:hAnsi="Times New Roman"/>
          <w:color w:val="000000"/>
          <w:sz w:val="20"/>
          <w:szCs w:val="20"/>
          <w:vertAlign w:val="superscript"/>
        </w:rPr>
        <w:t>2</w:t>
      </w:r>
      <w:r>
        <w:rPr>
          <w:rFonts w:eastAsia="Times New Roman" w:cs="Times New Roman" w:ascii="Times New Roman" w:hAnsi="Times New Roman"/>
          <w:color w:val="000000"/>
          <w:sz w:val="20"/>
          <w:szCs w:val="20"/>
        </w:rPr>
        <w:t xml:space="preserve"> (</w:t>
      </w:r>
      <w:hyperlink r:id="rId4">
        <w:r>
          <w:rPr>
            <w:rFonts w:eastAsia="Times New Roman" w:cs="Times New Roman" w:ascii="Times New Roman" w:hAnsi="Times New Roman"/>
            <w:color w:val="467886"/>
            <w:sz w:val="20"/>
            <w:szCs w:val="20"/>
            <w:u w:val="single"/>
          </w:rPr>
          <w:t>aurelioluiscg@gmail.com</w:t>
        </w:r>
      </w:hyperlink>
      <w:r>
        <w:rPr>
          <w:rFonts w:eastAsia="Times New Roman" w:cs="Times New Roman" w:ascii="Times New Roman" w:hAnsi="Times New Roman"/>
          <w:color w:val="000000"/>
          <w:sz w:val="20"/>
          <w:szCs w:val="20"/>
        </w:rPr>
        <w:t>); RODRIGUES, Pedro Henrique Dias</w:t>
      </w:r>
      <w:r>
        <w:rPr>
          <w:rFonts w:eastAsia="Times New Roman" w:cs="Times New Roman" w:ascii="Times New Roman" w:hAnsi="Times New Roman"/>
          <w:color w:val="000000"/>
          <w:sz w:val="20"/>
          <w:szCs w:val="20"/>
          <w:vertAlign w:val="superscript"/>
        </w:rPr>
        <w:t>3</w:t>
      </w:r>
      <w:r>
        <w:rPr>
          <w:rFonts w:eastAsia="Times New Roman" w:cs="Times New Roman" w:ascii="Times New Roman" w:hAnsi="Times New Roman"/>
          <w:color w:val="000000"/>
          <w:sz w:val="20"/>
          <w:szCs w:val="20"/>
        </w:rPr>
        <w:t xml:space="preserve"> (</w:t>
      </w:r>
      <w:hyperlink r:id="rId5">
        <w:r>
          <w:rPr>
            <w:rFonts w:eastAsia="Times New Roman" w:cs="Times New Roman" w:ascii="Times New Roman" w:hAnsi="Times New Roman"/>
            <w:color w:val="467886"/>
            <w:sz w:val="20"/>
            <w:szCs w:val="20"/>
            <w:u w:val="single"/>
          </w:rPr>
          <w:t>pedrohenriquerodrigues@outlook.com.br</w:t>
        </w:r>
      </w:hyperlink>
      <w:r>
        <w:rPr>
          <w:rFonts w:eastAsia="Times New Roman" w:cs="Times New Roman" w:ascii="Times New Roman" w:hAnsi="Times New Roman"/>
          <w:color w:val="000000"/>
          <w:sz w:val="20"/>
          <w:szCs w:val="20"/>
        </w:rPr>
        <w:t>); MARCELINO, Adriele Ferreira</w:t>
      </w:r>
      <w:r>
        <w:rPr>
          <w:rFonts w:eastAsia="Times New Roman" w:cs="Times New Roman" w:ascii="Times New Roman" w:hAnsi="Times New Roman"/>
          <w:color w:val="000000"/>
          <w:sz w:val="20"/>
          <w:szCs w:val="20"/>
          <w:vertAlign w:val="superscript"/>
        </w:rPr>
        <w:t>4</w:t>
      </w:r>
      <w:r>
        <w:rPr>
          <w:rFonts w:eastAsia="Times New Roman" w:cs="Times New Roman" w:ascii="Times New Roman" w:hAnsi="Times New Roman"/>
          <w:color w:val="000000"/>
          <w:sz w:val="20"/>
          <w:szCs w:val="20"/>
        </w:rPr>
        <w:t xml:space="preserve"> (adrieleferreira99@hotmail.com); DA SILVA, Maiele Leandro</w:t>
      </w:r>
      <w:r>
        <w:rPr>
          <w:rFonts w:eastAsia="Times New Roman" w:cs="Times New Roman" w:ascii="Times New Roman" w:hAnsi="Times New Roman"/>
          <w:color w:val="000000"/>
          <w:sz w:val="20"/>
          <w:szCs w:val="20"/>
          <w:vertAlign w:val="superscript"/>
        </w:rPr>
        <w:t>5</w:t>
      </w:r>
      <w:r>
        <w:rPr>
          <w:rFonts w:eastAsia="Times New Roman" w:cs="Times New Roman" w:ascii="Times New Roman" w:hAnsi="Times New Roman"/>
          <w:color w:val="000000"/>
          <w:sz w:val="20"/>
          <w:szCs w:val="20"/>
        </w:rPr>
        <w:t xml:space="preserve"> (</w:t>
      </w:r>
      <w:hyperlink r:id="rId6">
        <w:r>
          <w:rPr>
            <w:rFonts w:eastAsia="Times New Roman" w:cs="Times New Roman" w:ascii="Times New Roman" w:hAnsi="Times New Roman"/>
            <w:color w:val="467886"/>
            <w:sz w:val="20"/>
            <w:szCs w:val="20"/>
            <w:u w:val="single"/>
          </w:rPr>
          <w:t>maiele@uems.br</w:t>
        </w:r>
      </w:hyperlink>
      <w:r>
        <w:rPr>
          <w:rFonts w:eastAsia="Times New Roman" w:cs="Times New Roman" w:ascii="Times New Roman" w:hAnsi="Times New Roman"/>
          <w:color w:val="000000"/>
          <w:sz w:val="20"/>
          <w:szCs w:val="20"/>
        </w:rPr>
        <w:t>).</w:t>
      </w:r>
    </w:p>
    <w:p>
      <w:pPr>
        <w:pStyle w:val="Normal1"/>
        <w:keepNext w:val="false"/>
        <w:keepLines w:val="false"/>
        <w:pageBreakBefore w:val="false"/>
        <w:widowControl/>
        <w:numPr>
          <w:ilvl w:val="0"/>
          <w:numId w:val="1"/>
        </w:numPr>
        <w:pBdr/>
        <w:shd w:val="clear" w:fill="auto"/>
        <w:tabs>
          <w:tab w:val="clear" w:pos="720"/>
          <w:tab w:val="left" w:pos="142" w:leader="none"/>
        </w:tabs>
        <w:spacing w:lineRule="auto" w:line="278"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sz w:val="20"/>
          <w:szCs w:val="20"/>
          <w:u w:val="none"/>
          <w:shd w:fill="auto" w:val="clear"/>
          <w:vertAlign w:val="superscript"/>
        </w:rPr>
      </w:pP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Discente do curso de Agronomia na UEMS de Aquidauana, integrante do Grupo PET;</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 Doutorando do curso de Agronomia na UEMS de Aquidauana; 3- Discente do curso de Agronomia na UEMS de Aquidauana; 4- Mestranda do curso de Agronomia na UEMS de Aquidauana; 5- Docente do curso de Agronomia na UEMS de Aquidauana.</w:t>
      </w:r>
    </w:p>
    <w:p>
      <w:pPr>
        <w:pStyle w:val="Normal1"/>
        <w:keepNext w:val="true"/>
        <w:keepLines/>
        <w:widowControl w:val="false"/>
        <w:spacing w:lineRule="auto" w:line="36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Ao longo dos últimos anos o aumento do custo de implantação de sistemas produtivos cresceu sucessivamente, o que torna a vida do produtor rural ainda mais difícil, na produção de hortaliças orgânicas, principalmente, o custo com sementes é responsável por uma grande fração do custo total. Por tanto, é necessário buscar um equilíbrio entre uma produção de menor custo e uma produtividade elevada. Dessa forma, o objetivo do trabalho é dar sequência ao projeto anterior (Consórcio de rúcula e rabanete em diferentes populações e adubação) e designar se é viável produzir ambas as culturas em sistema consorciado ou cada uma delas no cultivo solteiro, levando como base os índices de competição de Produtividade Relativa (PR), Uso Equivalente de Terra (UET), Equivalênca relativa de área/tempo (ERAT), Relação de equivalência de colheita na área (RECA), Relação de desempenho da cultura (RDC), Perda ou ganho de rendimento (PGRR). Esses índices utilizam variáveis como o tempo das culturas na área, produtividade, número de colheitas possíveis no período de consórcio de cada espécie e estande populacional nos dois sistemas. Além disso, é importante observar se o aumento da produtividade de rúcula e rabanete compensa o aumento do custo para implantar sistemas com maiores populações de rúcula, sendo que os índices de competição entre as duas culturas nos tratamentos com maior densidade populacional possam impedir que a produtividade acrescentada pelo maior número de plantas não seja o suficiente para justificar o acréscimo de custo das sementes. Para a determinação de tais aspectos, foram necessário calcular o custo total nos sistemas de 7, 10, 13 e 17 plantas de rúcula por linha e a receita gerada por cada produtividade. Na análise econômica, na comparação de viabilidade entre tratamento x produtividade há o CF (custo fixo) que abrange os gastos com maquinário, mão de obra, sistema de irrigação, energia e adubo e o CV (custo variável) que abrange o gasto com sementes e será o responsável por alterar o custo total, podendo ser calculado também o ROI (Retorno Sobre Investimento). Dado ao exposto, através dessas análises e cálculos indicativos, é possível identificar se o manejo consorciado das culturas da rúcula e do rabanete é vantajoso em relação a seus cultivos de forma solteira (monocultivo). </w:t>
      </w:r>
    </w:p>
    <w:p>
      <w:pPr>
        <w:pStyle w:val="Normal1"/>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keepNext w:val="true"/>
        <w:keepLines/>
        <w:widowControl w:val="false"/>
        <w:spacing w:lineRule="auto" w:line="360" w:before="0" w:after="0"/>
        <w:jc w:val="both"/>
        <w:rPr>
          <w:rFonts w:ascii="Times New Roman" w:hAnsi="Times New Roman" w:eastAsia="Times New Roman" w:cs="Times New Roman"/>
          <w:b w:val="false"/>
          <w:b w:val="false"/>
          <w:color w:val="000000"/>
          <w:sz w:val="20"/>
          <w:szCs w:val="20"/>
        </w:rPr>
      </w:pPr>
      <w:r>
        <w:rPr>
          <w:rFonts w:eastAsia="Times New Roman" w:cs="Times New Roman" w:ascii="Times New Roman" w:hAnsi="Times New Roman"/>
          <w:b/>
          <w:color w:val="000000"/>
          <w:sz w:val="20"/>
          <w:szCs w:val="20"/>
        </w:rPr>
        <w:t xml:space="preserve">Palavras-chave: </w:t>
      </w:r>
      <w:r>
        <w:rPr>
          <w:rFonts w:eastAsia="Times New Roman" w:cs="Times New Roman" w:ascii="Times New Roman" w:hAnsi="Times New Roman"/>
          <w:b w:val="false"/>
          <w:color w:val="000000"/>
          <w:sz w:val="20"/>
          <w:szCs w:val="20"/>
        </w:rPr>
        <w:t>Viabilidade; Produtividade; Produção de hortaliças.</w:t>
      </w:r>
    </w:p>
    <w:p>
      <w:pPr>
        <w:pStyle w:val="Normal1"/>
        <w:keepNext w:val="true"/>
        <w:keepLines/>
        <w:widowControl w:val="false"/>
        <w:spacing w:lineRule="auto" w:line="360" w:before="0" w:after="0"/>
        <w:jc w:val="lef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 xml:space="preserve">Agradecimentos: </w:t>
      </w:r>
      <w:r>
        <w:rPr>
          <w:rFonts w:eastAsia="Times New Roman" w:cs="Times New Roman" w:ascii="Times New Roman" w:hAnsi="Times New Roman"/>
          <w:b w:val="false"/>
          <w:color w:val="000000"/>
          <w:sz w:val="20"/>
          <w:szCs w:val="20"/>
        </w:rPr>
        <w:t>Agradeço a PIBIC/UEMS pela concessão da bolsa de iniciação científica.</w:t>
      </w:r>
    </w:p>
    <w:p>
      <w:pPr>
        <w:pStyle w:val="Normal1"/>
        <w:spacing w:before="0" w:after="160"/>
        <w:rPr>
          <w:rFonts w:ascii="Times New Roman" w:hAnsi="Times New Roman" w:eastAsia="Times New Roman" w:cs="Times New Roman"/>
          <w:b/>
          <w:b/>
          <w:color w:val="000000"/>
          <w:sz w:val="20"/>
          <w:szCs w:val="20"/>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 w:name="Arial">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4"/>
        <w:szCs w:val="24"/>
        <w:lang w:val="pt-PT" w:eastAsia="zh-CN" w:bidi="hi-IN"/>
      </w:rPr>
    </w:rPrDefault>
    <w:pPrDefault>
      <w:pPr>
        <w:suppressAutoHyphens w:val="true"/>
      </w:pPr>
    </w:pPrDefault>
  </w:docDefaults>
  <w:style w:type="paragraph" w:styleId="Normal" w:default="1">
    <w:name w:val="Normal"/>
    <w:qFormat/>
    <w:pPr>
      <w:widowControl/>
      <w:bidi w:val="0"/>
      <w:spacing w:lineRule="auto" w:line="278" w:before="0" w:after="160"/>
      <w:jc w:val="left"/>
    </w:pPr>
    <w:rPr>
      <w:rFonts w:ascii="Aptos" w:hAnsi="Aptos" w:eastAsia="Aptos" w:cs="Aptos"/>
      <w:color w:val="auto"/>
      <w:kern w:val="0"/>
      <w:sz w:val="24"/>
      <w:szCs w:val="24"/>
      <w:lang w:val="pt-PT"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Pr>
      <w:color w:val="467886"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8" w:before="0" w:after="160"/>
      <w:jc w:val="left"/>
    </w:pPr>
    <w:rPr>
      <w:rFonts w:ascii="Aptos" w:hAnsi="Aptos" w:eastAsia="Aptos" w:cs="Aptos"/>
      <w:color w:val="auto"/>
      <w:kern w:val="0"/>
      <w:sz w:val="24"/>
      <w:szCs w:val="24"/>
      <w:lang w:val="pt-PT"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Legendadatabela2" w:customStyle="1">
    <w:name w:val="Legenda da tabela (2)"/>
    <w:basedOn w:val="Normal1"/>
    <w:uiPriority w:val="1"/>
    <w:qFormat/>
    <w:rsid w:val="1f36e098"/>
    <w:pPr>
      <w:widowControl w:val="false"/>
      <w:shd w:val="clear" w:color="auto" w:fill="FFFFFF" w:themeFill="background1"/>
      <w:spacing w:lineRule="atLeast" w:line="240" w:before="0" w:after="120"/>
      <w:jc w:val="both"/>
    </w:pPr>
    <w:rPr>
      <w:rFonts w:ascii="Arial" w:hAnsi="Arial" w:eastAsia="Times New Roman" w:cs="Arial"/>
      <w:b/>
      <w:bCs/>
      <w:color w:val="000000" w:themeColor="text1"/>
      <w:sz w:val="23"/>
      <w:szCs w:val="23"/>
      <w:lang w:val="pt-PT" w:eastAsia="zh-CN"/>
    </w:rPr>
  </w:style>
  <w:style w:type="paragraph" w:styleId="ListParagraph">
    <w:name w:val="List Paragraph"/>
    <w:basedOn w:val="Normal1"/>
    <w:uiPriority w:val="34"/>
    <w:qFormat/>
    <w:rsid w:val="00834169"/>
    <w:pPr>
      <w:spacing w:before="0" w:after="160"/>
      <w:ind w:left="720" w:hanging="0"/>
      <w:contextualSpacing/>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uisgustavosbfilho@gmail.com" TargetMode="External"/><Relationship Id="rId4" Type="http://schemas.openxmlformats.org/officeDocument/2006/relationships/hyperlink" Target="mailto:aurelioluiscg@gmail.com" TargetMode="External"/><Relationship Id="rId5" Type="http://schemas.openxmlformats.org/officeDocument/2006/relationships/hyperlink" Target="mailto:pedrohenriquerodrigues@outlook.com.br" TargetMode="External"/><Relationship Id="rId6" Type="http://schemas.openxmlformats.org/officeDocument/2006/relationships/hyperlink" Target="mailto:maiele@uems.br"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amT6NWgB3JtEcfn6L9AGy9IcTNQ==">CgMxLjA4AHIhMTFrS2FEWExaeERnbTRQYzIwaENFbFVkWnZOcVlfV194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486</Words>
  <Characters>2786</Characters>
  <CharactersWithSpaces>3265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2024-08-09T20:44:00Z</dcterms:created>
  <dc:creator>Luís Gustavo Barros</dc:creator>
  <dc:description/>
  <dc:language>pt-BR</dc:language>
  <cp:lastModifiedBy/>
  <dcterms:modified xsi:type="dcterms:W3CDTF">2025-01-13T10:34:41Z</dcterms:modified>
  <cp:revision>1</cp:revision>
  <dc:subject/>
  <dc:title/>
</cp:coreProperties>
</file>