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EDUCAÇÃO ESCOLAR INDÍGENA: ANÁLISE DOS DOCUMENTOS CURRICULARES (BNCC, DCNEEI)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(UEMS)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Educação (7.08.00.00-6)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MACIEL,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Keity Gonçalves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(04863601131@academicos.uems.br);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MILITÃO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Andréia Nunes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(andreiamilitao@uems.br).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Acadêmica do curso de Licenciatura em Pedagogia na UEMS/Unidade Universitária de Dourados;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da Universidade Estadual de Mato Grosso do Sul (UEMS).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Resumo: </w:t>
      </w:r>
      <w:r w:rsidDel="00000000" w:rsidR="00000000" w:rsidRPr="00000000">
        <w:rPr>
          <w:sz w:val="20"/>
          <w:szCs w:val="20"/>
          <w:rtl w:val="0"/>
        </w:rPr>
        <w:t xml:space="preserve">O presente trabalho teve por objetivo central analisar a Educação Escolar Indígena nos documentos curriculares em vigência, em particular, debruçou-se sobre dois documentos curriculares: a) Base Nacional Comum Curricular (BNCC); b) Diretrizes Curriculares Nacionais para a Educação Escolar Indígena (DCNEEI), procurando desvelar o lugar da Educação Escolar Indígena (EEI) estes normativos. A pesquisa está ancorada na abordagem qualitativa e utiliza como procedimentos de coleta de dados a pesquisa bibliográfica e documental. A BNCC é um documento que busca estabelecer os conhecimentos, competências e habilidades essenciais que todos os estudantes brasileiros devem adquirir ao longo de sua escolaridade. Enquanto a BNCC estabelece uma base comum de aprendizagem para todos os alunos brasileiros, a DCNEEI representa diretrizes específicas que reconhecem a necessidade de uma educação contextualizada para as comunidades indígenas, respeitando suas culturas e modos de vida. Embora a BNCC reconheça a importância da diversidade cultural e étnica do Brasil, alguns autores argumentam que ela pode apresentar desafios para a implementação adequada da Educação Escolar Indígena. A BNCC estabelece uma base comum de aprendizagem para todos os estudantes brasileiros, o que pode resultar na padronização curricular e na homogeneização dos conteúdos, desconsiderando as especificidades culturais, linguísticas e sociais das comunidades indígenas. Conforme demonstrado por Militão (2022), ao realizar um mapeamento no documento BNCC com o descritor “indígenas”, localizou-se um total de 136 menções. Este quantitativo não traduz necessariamente a proposta de educação específica, intercultural e bilíngue/multilíngue própria da Educação Escolar Indígena. A adaptação dos conteúdos e metodologias da BNCC às realidades específicas das comunidades indígenas pode ser um desafio para os professores indígenas, que precisam encontrar maneiras de contextualizar o currículo nacional para torná-lo relevante e significativo para os estudantes de suas comunidades, integrando os saberes tradicionais e a língua materna. Nesse sentido, torna-se necessário conciliar a padronização curricular com a valorização da diversidade cultural e étnica, garantindo a participação das comunidades indígenas na definição e implementação das políticas educacionais, bem como investimentos em formação de professores. Portanto, para que a Educação Escolar Indígena seja eficaz e respeite a identidade cultural das comunidades, é crucial que haja uma conciliação entre a padronização curricular e a valorização da diversidade cultural e étnica. As políticas educacionais devem garantir a participação ativa das comunidades indígenas na sua definição e implementação, assegurando que suas vozes e necessidades sejam ouvidas e atendidas. Além disso, investimentos em formação contínua para professores indígenas são essenciais para capacitá-los a enfrentar os desafios de contextualizar a BNCC. Em síntese, o equilíbrio entre a BNCC e as DCNEEI é fundamental para promover uma educação escolar indígena que respeite e valorize a diversidade cultural do Brasil, contribuindo para a preservação das culturas indígenas e o desenvolvimento pleno de suas comunidades. Este equilíbrio depende de um compromisso contínuo com a inclusão, o respeito e a valorização das especificidades de cada comunidade indígena, promovendo assim uma educação verdadeiramente intercultural, bilíngue/multilíngue e contextualizada.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 </w:t>
      </w:r>
      <w:r w:rsidDel="00000000" w:rsidR="00000000" w:rsidRPr="00000000">
        <w:rPr>
          <w:sz w:val="20"/>
          <w:szCs w:val="20"/>
          <w:rtl w:val="0"/>
        </w:rPr>
        <w:t xml:space="preserve">Educação Escolar Indígena, BNCC, Diretrizes Curriculares Nacionais.</w:t>
      </w:r>
    </w:p>
    <w:p w:rsidR="00000000" w:rsidDel="00000000" w:rsidP="00000000" w:rsidRDefault="00000000" w:rsidRPr="00000000" w14:paraId="0000000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a Fundect pela concessão da Bolsa de Iniciação Científica, à Universidade Estadual de Mato Grosso do Sul e ao GEPPEF por darem apoio e condições para o desenvolvimento desta pesquisa.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