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645" w:leader="none"/>
        </w:tabs>
        <w:spacing w:before="0" w:after="283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ab/>
      </w:r>
    </w:p>
    <w:p>
      <w:pPr>
        <w:pStyle w:val="Normal"/>
        <w:tabs>
          <w:tab w:val="clear" w:pos="720"/>
          <w:tab w:val="left" w:pos="3180" w:leader="none"/>
        </w:tabs>
        <w:ind w:left="1134" w:right="1134" w:hanging="0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ab/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sz w:val="20"/>
          <w:szCs w:val="20"/>
          <w:lang w:eastAsia="pt-BR"/>
        </w:rPr>
        <w:t>AVALIAÇÃO NUTRICIONAL DE GRÃOS SECOS DESTILADOS COM SOLÚVEIS NA ALIMENTAÇÃO DE CODORNAS JAPONESAS EM FASE DE POSTURA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>Área temática: Nutrição e Alimentação de Monogástricos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COSTA, </w:t>
      </w:r>
      <w:r>
        <w:rPr>
          <w:rFonts w:eastAsia="Calibri"/>
          <w:sz w:val="20"/>
          <w:szCs w:val="20"/>
          <w:lang w:eastAsia="zh-CN"/>
        </w:rPr>
        <w:t>Nicolly Maurilho da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(lancastternick@gmail.com); </w:t>
      </w:r>
      <w:r>
        <w:rPr>
          <w:rFonts w:eastAsia="Calibri"/>
          <w:b/>
          <w:sz w:val="20"/>
          <w:szCs w:val="20"/>
          <w:lang w:eastAsia="zh-CN"/>
        </w:rPr>
        <w:t>BRITO</w:t>
      </w:r>
      <w:r>
        <w:rPr>
          <w:rFonts w:eastAsia="Calibri"/>
          <w:sz w:val="20"/>
          <w:szCs w:val="20"/>
          <w:lang w:eastAsia="zh-CN"/>
        </w:rPr>
        <w:t>, Jenifer Aparecida Almeida Azambuja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sz w:val="20"/>
          <w:szCs w:val="20"/>
        </w:rPr>
        <w:t>jeniferazambuja@hotmail.com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GARCIA, </w:t>
      </w:r>
      <w:r>
        <w:rPr>
          <w:rFonts w:eastAsia="Calibri"/>
          <w:sz w:val="20"/>
          <w:szCs w:val="20"/>
          <w:lang w:eastAsia="zh-CN"/>
        </w:rPr>
        <w:t>Elis Morais de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ermgarcia@uems.br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MATOS</w:t>
      </w:r>
      <w:r>
        <w:rPr>
          <w:rFonts w:eastAsia="Calibri"/>
          <w:sz w:val="20"/>
          <w:szCs w:val="20"/>
          <w:lang w:eastAsia="zh-CN"/>
        </w:rPr>
        <w:t>, Jéssica Mota da Silva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jessykmotta10@gmail.com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LEITE, </w:t>
      </w:r>
      <w:r>
        <w:rPr>
          <w:rFonts w:eastAsia="Calibri"/>
          <w:sz w:val="20"/>
          <w:szCs w:val="20"/>
          <w:lang w:eastAsia="zh-CN"/>
        </w:rPr>
        <w:t>Brenda Kelly Viana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Brendavleite@hotmail.com</w:t>
      </w:r>
      <w:r>
        <w:rPr>
          <w:rStyle w:val="LinkdaInternet"/>
          <w:rFonts w:eastAsia="Calibri"/>
          <w:color w:val="auto"/>
          <w:sz w:val="20"/>
          <w:szCs w:val="20"/>
          <w:lang w:eastAsia="zh-CN"/>
        </w:rPr>
        <w:t>)</w:t>
      </w:r>
      <w:r>
        <w:rPr>
          <w:rFonts w:eastAsia="Calibri"/>
          <w:b/>
          <w:sz w:val="20"/>
          <w:szCs w:val="20"/>
          <w:lang w:eastAsia="zh-CN"/>
        </w:rPr>
        <w:t xml:space="preserve">; PASQUETTI, </w:t>
      </w:r>
      <w:r>
        <w:rPr>
          <w:rFonts w:eastAsia="Calibri"/>
          <w:sz w:val="20"/>
          <w:szCs w:val="20"/>
          <w:lang w:eastAsia="zh-CN"/>
        </w:rPr>
        <w:t>Tiago Junior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(pasquettizoo@uems.br)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4° ano do Curso de Zootecnia – UEMS Aquidauana 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Mestranda do Curso de Zootecnia – UEMS, Aquidauana;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Zootecna – UEMS, Aquidauana;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Pós doutoranda do Curso de Zootecnia – UEMS Aquidauana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Mestranda do Curso de Zootecnia – UEMS, Aquidauana;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Docente do Curso de Zootecnia – UEMS, Aquidauana.</w:t>
      </w:r>
    </w:p>
    <w:p>
      <w:pPr>
        <w:pStyle w:val="NormalWeb"/>
        <w:spacing w:before="49" w:after="49"/>
        <w:ind w:firstLine="720"/>
        <w:jc w:val="both"/>
        <w:rPr>
          <w:color w:val="0000FF"/>
          <w:sz w:val="20"/>
        </w:rPr>
      </w:pPr>
      <w:r>
        <w:rPr>
          <w:sz w:val="20"/>
        </w:rPr>
        <w:t>A Codorna japonesa (</w:t>
      </w:r>
      <w:r>
        <w:rPr>
          <w:rStyle w:val="Nfase"/>
          <w:sz w:val="20"/>
        </w:rPr>
        <w:t>Coturnix coturnix japonica</w:t>
      </w:r>
      <w:r>
        <w:rPr>
          <w:sz w:val="20"/>
        </w:rPr>
        <w:t>) é uma ave originária do norte da Ásia, resultado do cruzamento entre codornas selvagens e europeias iniciado no século XX. Ela possui coloração marrom, pesa entre 160</w:t>
      </w:r>
      <w:r>
        <w:rPr>
          <w:color w:val="FF0000"/>
          <w:sz w:val="20"/>
        </w:rPr>
        <w:t xml:space="preserve"> </w:t>
      </w:r>
      <w:r>
        <w:rPr>
          <w:sz w:val="20"/>
        </w:rPr>
        <w:t>e 300 gramas e inicia a postura de ovos aos 40 dias de idade, produzindo cerca de 300 ovos no primeiro ano. O ovo de codorna possui 1,2% de proteína. A oscilação no preço de mercado das matérias-primas, principalmente milho e farelo de soja, levanta a necessidade de alternativas para a alimentação das codornas. O uso de Grãos Secos Destilados com Solúveis (DDGS) tem sido estudado como uma substituição parcial. Este estudo tem o objetivo de avaliar o valor nutricional do DDGS na alimentação de codornas japonesas em fase de postura. Foram utilizadas 75 codornas com 2 anos de idade, alocadas em gaiolas de aço galvanizado (20 cm x 33 cm x 25 cm), com bebedouros tipo "nipple" e comedouros tipo calha. As codornas foram distribuídas em um delineamento inteiramente casualizado (DIC), com três tratamentos e cinco repetições, contendo cinco aves por gaiola. Os tratamentos foram: Tratamento 1 (ração referência sem DDGS), Tratamento 2 (10% de DDGS substituindo parte da ração) e Tratamento 3 (20% de DDGS substituindo parte da ração). A água e as rações foram fornecidas à vontade durante 10 dias, sendo 5 dias para adaptação e 5 dias para coleta de excretas. As excretas foram armazenadas em sacolas plásticas e congeladas, e posteriormente descongeladas e secas em estufa a 55°C por 72 horas. Amostras de ração e excretas foram analisadas quanto à matéria seca (MS) e energia bruta (EB). A partir dessas análises, foram calculados os valores de energia metabolizável aparente (EMA) e energia metabolizável aparente corrigida para o balanço de nitrogênio (EMAn). O DDGS apresentou 89,31% de matéria seca (MS) e 4550 kcal/kg de energia bruta (EB), com base na MN. A EMA e a EMAn do DDGS foi de 2969kcal/kg e de2943 kcal/kg, para o nível de 10% de substituição da RR pelo DDGS, respectivamente. Para o nível de 20% de substituição da RR pelo DDGS a EMA e a EMAn do DDGS foi de 3387 kcal/kg e de 3265 kcal/kg, respectivamente. O valor médio de EMA e de EMAn foi de 3178 e de 3104 kcal/kg, respectivamente. O coeficiente de metabolizabilidade da energia do DDGS foi de 60,9224%. Portanto, conclui-se que o DDGS pode ser uma fonte alternativa de energia para as codornas em fase de postura.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Nutrição animal, Avicultura</w:t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apoio financeiro concedido pela FUNDECT, bem como a infraestrutura e recursos físicos disponibilizados pela UEMS.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134" w:footer="284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6276975" cy="676275"/>
          <wp:effectExtent l="0" t="0" r="0" b="0"/>
          <wp:docPr id="1" name="Imagem 7" descr="http://enepex.uems.br/assets/uploads/normas/arquivos/4_2024-07-09_10-01-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http://enepex.uems.br/assets/uploads/normas/arquivos/4_2024-07-09_10-01-45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bc3104"/>
    <w:rPr>
      <w:color w:val="0000FF" w:themeColor="hyperlink"/>
      <w:u w:val="single"/>
    </w:rPr>
  </w:style>
  <w:style w:type="character" w:styleId="Nfase">
    <w:name w:val="Ênfase"/>
    <w:basedOn w:val="DefaultParagraphFont"/>
    <w:uiPriority w:val="20"/>
    <w:qFormat/>
    <w:rsid w:val="00d3448c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310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bc3104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c3104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3448c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bc310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c310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8717-56BB-45E5-99A5-F8C6424F8C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545</Words>
  <Characters>2947</Characters>
  <CharactersWithSpaces>3495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2024-08-09T23:56:00Z</dcterms:created>
  <dc:creator>Usuário do Windows</dc:creator>
  <dc:description/>
  <dc:language>pt-BR</dc:language>
  <cp:lastModifiedBy/>
  <cp:lastPrinted>2024-08-09T23:48:00Z</cp:lastPrinted>
  <dcterms:modified xsi:type="dcterms:W3CDTF">2024-08-13T08:57:31Z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