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AVALIAÇÃO DA ESTABILIDADE PRELIMINAR E DE ATIVIDADES BIOLÓGICAS DO EMULGEL FITOTERÁPICO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Nectandra megapotamica </w:t>
      </w:r>
      <w:r w:rsidDel="00000000" w:rsidR="00000000" w:rsidRPr="00000000">
        <w:rPr>
          <w:b w:val="1"/>
          <w:sz w:val="20"/>
          <w:szCs w:val="20"/>
          <w:rtl w:val="0"/>
        </w:rPr>
        <w:t xml:space="preserve">(SPRENG.) MEZ. </w:t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Química dos Produtos Naturais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OLIVEIRA, </w:t>
      </w:r>
      <w:r w:rsidDel="00000000" w:rsidR="00000000" w:rsidRPr="00000000">
        <w:rPr>
          <w:sz w:val="20"/>
          <w:szCs w:val="20"/>
          <w:rtl w:val="0"/>
        </w:rPr>
        <w:t xml:space="preserve">Melonny Lorraynny Martins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6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06714814100@academicos.uems.br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ALIENDES, </w:t>
      </w:r>
      <w:r w:rsidDel="00000000" w:rsidR="00000000" w:rsidRPr="00000000">
        <w:rPr>
          <w:sz w:val="20"/>
          <w:szCs w:val="20"/>
          <w:rtl w:val="0"/>
        </w:rPr>
        <w:t xml:space="preserve">Silvia Helena Mittelstett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(10758654170@academicos.uems.br); </w:t>
      </w:r>
      <w:r w:rsidDel="00000000" w:rsidR="00000000" w:rsidRPr="00000000">
        <w:rPr>
          <w:b w:val="1"/>
          <w:sz w:val="20"/>
          <w:szCs w:val="20"/>
          <w:rtl w:val="0"/>
        </w:rPr>
        <w:t xml:space="preserve">PEREIRA, </w:t>
      </w:r>
      <w:r w:rsidDel="00000000" w:rsidR="00000000" w:rsidRPr="00000000">
        <w:rPr>
          <w:sz w:val="20"/>
          <w:szCs w:val="20"/>
          <w:rtl w:val="0"/>
        </w:rPr>
        <w:t xml:space="preserve">Vanessa Cristina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07923055157.@academicos.uems.br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OLIVEIRA</w:t>
      </w:r>
      <w:r w:rsidDel="00000000" w:rsidR="00000000" w:rsidRPr="00000000">
        <w:rPr>
          <w:sz w:val="20"/>
          <w:szCs w:val="20"/>
          <w:rtl w:val="0"/>
        </w:rPr>
        <w:t xml:space="preserve">, Gabrielly Lorraynny Martins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8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gabriellylmo@hotmail.com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SILVA, </w:t>
      </w:r>
      <w:r w:rsidDel="00000000" w:rsidR="00000000" w:rsidRPr="00000000">
        <w:rPr>
          <w:sz w:val="20"/>
          <w:szCs w:val="20"/>
          <w:rtl w:val="0"/>
        </w:rPr>
        <w:t xml:space="preserve">Ana Francisca Gomes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ana.francisca@uems.br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Discente do curso de Ciências Biológicas da UEMS - Mundo Novo;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Discente do curso de Agronomia da UEMS - Mundo Novo;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Discente do curso de Pós-Graduação em Química da UEM - Maringá;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Docente dos cursos de Ciências Biológicas e Agronomia da UEMS - Mundo Novo.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sistemas de liberação controlada de fármacos (drug delivery systems) são muito utilizados na terapia fotodinâmica para tratamento de diversas doenças. A extração e aplicação de óleos essenciais possibilitam, através do uso da nanotecnologia, o desenvolvimento desses sistemas, facilitando a entrega dos princípios ativos na epiderme e derme cutânea. As pesquisas científicas caminham na busca de terapias alternativas e promissoras para o tratamento de diversas doenças tópicas, como a formação de emulgéis, baseada no processamento  de matrizes políméricas combinadas com extratos vegetais e óleos essenciais, os quais são responsáveis por inúmeras funções farmacológicas. </w:t>
      </w:r>
      <w:r w:rsidDel="00000000" w:rsidR="00000000" w:rsidRPr="00000000">
        <w:rPr>
          <w:i w:val="1"/>
          <w:sz w:val="20"/>
          <w:szCs w:val="20"/>
          <w:rtl w:val="0"/>
        </w:rPr>
        <w:t xml:space="preserve">Nectandra megapotamica</w:t>
      </w:r>
      <w:r w:rsidDel="00000000" w:rsidR="00000000" w:rsidRPr="00000000">
        <w:rPr>
          <w:sz w:val="20"/>
          <w:szCs w:val="20"/>
          <w:rtl w:val="0"/>
        </w:rPr>
        <w:t xml:space="preserve"> é uma Lauraceae nativa do Brasil utilizada na arborização urbana e reflorestamentos de áreas de preservação. Na medicina popular, é utilizada para tratamento de diferentes doenças. Quimicamente o óleo essencial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N. megapotamica</w:t>
      </w:r>
      <w:r w:rsidDel="00000000" w:rsidR="00000000" w:rsidRPr="00000000">
        <w:rPr>
          <w:sz w:val="20"/>
          <w:szCs w:val="20"/>
          <w:rtl w:val="0"/>
        </w:rPr>
        <w:t xml:space="preserve"> é caracterizado pela presença de fenilpropanoides, mono e sesquiterpenos, os quais apresentam importantes propriedades biológicas. A planta acumula ainda, em seus extratos diversos metabólitos secundários, muitos deles bioativos. O presente trabalho teve como objetivo realizar a avaliação citotóxica e antioxidante de um emulgel de óleo essencial e de extrato etanólico das folhas de</w:t>
      </w:r>
      <w:r w:rsidDel="00000000" w:rsidR="00000000" w:rsidRPr="00000000">
        <w:rPr>
          <w:i w:val="1"/>
          <w:sz w:val="20"/>
          <w:szCs w:val="20"/>
          <w:rtl w:val="0"/>
        </w:rPr>
        <w:t xml:space="preserve"> N. megapotamica</w:t>
      </w:r>
      <w:r w:rsidDel="00000000" w:rsidR="00000000" w:rsidRPr="00000000">
        <w:rPr>
          <w:sz w:val="20"/>
          <w:szCs w:val="20"/>
          <w:rtl w:val="0"/>
        </w:rPr>
        <w:t xml:space="preserve">. O óleo </w:t>
      </w:r>
      <w:r w:rsidDel="00000000" w:rsidR="00000000" w:rsidRPr="00000000">
        <w:rPr>
          <w:color w:val="202124"/>
          <w:sz w:val="20"/>
          <w:szCs w:val="20"/>
          <w:highlight w:val="white"/>
          <w:rtl w:val="0"/>
        </w:rPr>
        <w:t xml:space="preserve">foi obtido através do método de hidrodestilação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 o extrato etanólico por maceração das folhas. Os emulgéis fitoterápico com a composição de 1% de óleo e 2% de extrato foram preparados utilizando o polimérico bioadesivo Carbopol® 934PNF e água destilada, sob agitação mecânica (4 h). Após o tempo de agitação, o pH foi ajustado para 7 e as formulações (emulgéis) foram submetidas à análise de características organolépticas (aspecto, cor e odor), pH, ao teste de estabilidade, atráves de ciclos térmicos durante 30 dias e aos ensaios de citotoxicidade </w:t>
      </w:r>
      <w:r w:rsidDel="00000000" w:rsidR="00000000" w:rsidRPr="00000000">
        <w:rPr>
          <w:i w:val="1"/>
          <w:sz w:val="20"/>
          <w:szCs w:val="20"/>
          <w:rtl w:val="0"/>
        </w:rPr>
        <w:t xml:space="preserve">in vitro</w:t>
      </w:r>
      <w:r w:rsidDel="00000000" w:rsidR="00000000" w:rsidRPr="00000000">
        <w:rPr>
          <w:sz w:val="20"/>
          <w:szCs w:val="20"/>
          <w:rtl w:val="0"/>
        </w:rPr>
        <w:t xml:space="preserve"> frente a larvas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Artemia salina</w:t>
      </w:r>
      <w:r w:rsidDel="00000000" w:rsidR="00000000" w:rsidRPr="00000000">
        <w:rPr>
          <w:sz w:val="20"/>
          <w:szCs w:val="20"/>
          <w:rtl w:val="0"/>
        </w:rPr>
        <w:t xml:space="preserve"> para obtenção da dose letal média (DL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50</w:t>
      </w:r>
      <w:r w:rsidDel="00000000" w:rsidR="00000000" w:rsidRPr="00000000">
        <w:rPr>
          <w:sz w:val="20"/>
          <w:szCs w:val="20"/>
          <w:rtl w:val="0"/>
        </w:rPr>
        <w:t xml:space="preserve">) e de atividade antioxidante pelo método do radical livre 2,2-difenil-1-picrilidrazila (DPPH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•</w:t>
      </w:r>
      <w:r w:rsidDel="00000000" w:rsidR="00000000" w:rsidRPr="00000000">
        <w:rPr>
          <w:sz w:val="20"/>
          <w:szCs w:val="20"/>
          <w:rtl w:val="0"/>
        </w:rPr>
        <w:t xml:space="preserve">). O emulgel do óleo apresentou pH 5, aspecto pastoso, cor esbranquiçada e com leve odor do óleo. Já o emulgel do extrato registrou pH 4, aspecto pastoso, cor esverdeada e odor forte característico da planta. As formulações no período de 30 dias, não apresentaram alterações perceptíveis de estabilidade física, das características organolépticas e de pH. Exibiram citotoxicidade moderada, registrando DL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50 </w:t>
      </w:r>
      <w:r w:rsidDel="00000000" w:rsidR="00000000" w:rsidRPr="00000000">
        <w:rPr>
          <w:sz w:val="20"/>
          <w:szCs w:val="20"/>
          <w:rtl w:val="0"/>
        </w:rPr>
        <w:t xml:space="preserve">de 496,19 μg.mL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-1</w:t>
      </w:r>
      <w:r w:rsidDel="00000000" w:rsidR="00000000" w:rsidRPr="00000000">
        <w:rPr>
          <w:sz w:val="20"/>
          <w:szCs w:val="20"/>
          <w:rtl w:val="0"/>
        </w:rPr>
        <w:t xml:space="preserve"> para o formulado com óleo e DL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50</w:t>
      </w:r>
      <w:r w:rsidDel="00000000" w:rsidR="00000000" w:rsidRPr="00000000">
        <w:rPr>
          <w:sz w:val="20"/>
          <w:szCs w:val="20"/>
          <w:rtl w:val="0"/>
        </w:rPr>
        <w:t xml:space="preserve"> de 259,81 μg.mL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-1</w:t>
      </w:r>
      <w:r w:rsidDel="00000000" w:rsidR="00000000" w:rsidRPr="00000000">
        <w:rPr>
          <w:sz w:val="20"/>
          <w:szCs w:val="20"/>
          <w:rtl w:val="0"/>
        </w:rPr>
        <w:t xml:space="preserve"> para o formulado do extrato. Nas concentrações testadas ambas as formulações não foram eficazes na eliminação do radical DPPH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•</w:t>
      </w:r>
      <w:r w:rsidDel="00000000" w:rsidR="00000000" w:rsidRPr="00000000">
        <w:rPr>
          <w:sz w:val="20"/>
          <w:szCs w:val="20"/>
          <w:rtl w:val="0"/>
        </w:rPr>
        <w:t xml:space="preserve">, registrando CI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50</w:t>
      </w:r>
      <w:r w:rsidDel="00000000" w:rsidR="00000000" w:rsidRPr="00000000">
        <w:rPr>
          <w:sz w:val="20"/>
          <w:szCs w:val="20"/>
          <w:rtl w:val="0"/>
        </w:rPr>
        <w:t xml:space="preserve"> &gt; 1000 μg.mL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-1</w:t>
      </w:r>
      <w:r w:rsidDel="00000000" w:rsidR="00000000" w:rsidRPr="00000000">
        <w:rPr>
          <w:sz w:val="20"/>
          <w:szCs w:val="20"/>
          <w:rtl w:val="0"/>
        </w:rPr>
        <w:t xml:space="preserve"> portanto, não demonstraram potencial antioxidante. Esses resultados indicam que tanto o óleo quanto o extrato das folhas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N. megapotamica</w:t>
      </w:r>
      <w:r w:rsidDel="00000000" w:rsidR="00000000" w:rsidRPr="00000000">
        <w:rPr>
          <w:sz w:val="20"/>
          <w:szCs w:val="20"/>
          <w:rtl w:val="0"/>
        </w:rPr>
        <w:t xml:space="preserve"> produzem emulgéis com caracteristicas organolepticas estáveis por 30 dias, no entanto, mais análises a respeito da estabilidade morfológica, mecânica e microbiologica devem ser realizados para determinar a estabilidade conforme os parâmetros da ANVISA. A citotoxicidade registrada provavelmente está relacionada a presença de compostos bioativos nas folhas, tal como descrito na literatura. As formulações não apresentaram ação antioxidante nas concentrações avaliadas. Diante disso, mais estudos são necessários a fim de determinar o potencial farmacológico das formulações vislumbrado sua aplicação tópica.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Óleo essencial, Emulgel fitoterápico, Lauraceae.</w:t>
      </w:r>
    </w:p>
    <w:p w:rsidR="00000000" w:rsidDel="00000000" w:rsidP="00000000" w:rsidRDefault="00000000" w:rsidRPr="00000000" w14:paraId="0000000D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Ao Programa Institucional de Iniciação Científica (PIC/UEMS), pela concessão de bolsa ao primeiro autor.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a.francisca@uems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mailto:06714814100@academicos.uems.br" TargetMode="External"/><Relationship Id="rId7" Type="http://schemas.openxmlformats.org/officeDocument/2006/relationships/hyperlink" Target="mailto:07923055157.@academicos.uems.br" TargetMode="External"/><Relationship Id="rId8" Type="http://schemas.openxmlformats.org/officeDocument/2006/relationships/hyperlink" Target="mailto:gabriellylmo@hot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